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D" w:rsidRPr="00BA5756" w:rsidRDefault="00180A2D" w:rsidP="00180A2D">
      <w:pPr>
        <w:jc w:val="both"/>
        <w:rPr>
          <w:sz w:val="28"/>
          <w:szCs w:val="28"/>
        </w:rPr>
      </w:pPr>
    </w:p>
    <w:p w:rsidR="00180A2D" w:rsidRPr="00BA5756" w:rsidRDefault="00180A2D" w:rsidP="00180A2D">
      <w:pPr>
        <w:jc w:val="both"/>
        <w:rPr>
          <w:sz w:val="28"/>
          <w:szCs w:val="28"/>
        </w:rPr>
      </w:pPr>
    </w:p>
    <w:p w:rsidR="00595D31" w:rsidRPr="003F67A2" w:rsidRDefault="00595D31" w:rsidP="00595D3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4BE332D" wp14:editId="5FBE047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95D31" w:rsidRPr="003F67A2" w:rsidRDefault="00595D31" w:rsidP="00595D3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95D31" w:rsidRPr="003F67A2" w:rsidRDefault="00595D31" w:rsidP="00595D31">
      <w:pPr>
        <w:jc w:val="center"/>
        <w:rPr>
          <w:sz w:val="28"/>
          <w:szCs w:val="28"/>
        </w:rPr>
      </w:pPr>
    </w:p>
    <w:p w:rsidR="00595D31" w:rsidRPr="003F67A2" w:rsidRDefault="00595D31" w:rsidP="00595D3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95D31" w:rsidRPr="003F67A2" w:rsidRDefault="00595D31" w:rsidP="00595D31">
      <w:pPr>
        <w:jc w:val="center"/>
        <w:rPr>
          <w:sz w:val="28"/>
          <w:szCs w:val="28"/>
        </w:rPr>
      </w:pPr>
    </w:p>
    <w:p w:rsidR="00595D31" w:rsidRPr="003F67A2" w:rsidRDefault="00595D31" w:rsidP="00595D3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95D31" w:rsidRPr="003F67A2" w:rsidRDefault="00595D31" w:rsidP="00595D31">
      <w:pPr>
        <w:jc w:val="center"/>
        <w:rPr>
          <w:b/>
          <w:sz w:val="28"/>
          <w:szCs w:val="28"/>
        </w:rPr>
      </w:pPr>
    </w:p>
    <w:p w:rsidR="00081524" w:rsidRPr="00595D31" w:rsidRDefault="00595D31" w:rsidP="00595D31">
      <w:pPr>
        <w:jc w:val="center"/>
        <w:rPr>
          <w:rFonts w:eastAsiaTheme="minorHAnsi" w:cstheme="minorBidi"/>
          <w:szCs w:val="28"/>
          <w:lang w:val="en-US" w:eastAsia="en-US"/>
        </w:rPr>
      </w:pPr>
      <w:r w:rsidRPr="003F67A2">
        <w:rPr>
          <w:sz w:val="28"/>
          <w:szCs w:val="28"/>
        </w:rPr>
        <w:t xml:space="preserve">Від </w:t>
      </w:r>
      <w:r w:rsidRPr="00595D31">
        <w:rPr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 w:rsidRPr="00595D31">
        <w:rPr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 w:rsidRPr="00595D31">
        <w:rPr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</w:rPr>
        <w:t>20</w:t>
      </w:r>
      <w:r>
        <w:rPr>
          <w:szCs w:val="28"/>
          <w:u w:val="single"/>
          <w:lang w:val="en-US"/>
        </w:rPr>
        <w:t>1</w:t>
      </w:r>
      <w:bookmarkStart w:id="0" w:name="_GoBack"/>
      <w:bookmarkEnd w:id="0"/>
    </w:p>
    <w:p w:rsidR="00081524" w:rsidRPr="00BA5756" w:rsidRDefault="00081524" w:rsidP="00180A2D">
      <w:pPr>
        <w:jc w:val="both"/>
        <w:rPr>
          <w:sz w:val="28"/>
          <w:szCs w:val="28"/>
        </w:rPr>
      </w:pPr>
    </w:p>
    <w:p w:rsidR="00081524" w:rsidRPr="00BA5756" w:rsidRDefault="00081524" w:rsidP="00180A2D">
      <w:pPr>
        <w:jc w:val="both"/>
        <w:rPr>
          <w:sz w:val="28"/>
          <w:szCs w:val="28"/>
        </w:rPr>
      </w:pPr>
    </w:p>
    <w:p w:rsidR="00180A2D" w:rsidRPr="00BA5756" w:rsidRDefault="00180A2D" w:rsidP="009A5837">
      <w:pPr>
        <w:tabs>
          <w:tab w:val="left" w:pos="3828"/>
        </w:tabs>
        <w:ind w:right="58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 xml:space="preserve">Про </w:t>
      </w:r>
      <w:proofErr w:type="spellStart"/>
      <w:r w:rsidRPr="00BA5756">
        <w:rPr>
          <w:sz w:val="28"/>
          <w:szCs w:val="28"/>
        </w:rPr>
        <w:t>про</w:t>
      </w:r>
      <w:r w:rsidR="00555A01" w:rsidRPr="00BA5756">
        <w:rPr>
          <w:sz w:val="28"/>
          <w:szCs w:val="28"/>
        </w:rPr>
        <w:t>є</w:t>
      </w:r>
      <w:r w:rsidRPr="00BA5756">
        <w:rPr>
          <w:sz w:val="28"/>
          <w:szCs w:val="28"/>
        </w:rPr>
        <w:t>кт</w:t>
      </w:r>
      <w:proofErr w:type="spellEnd"/>
      <w:r w:rsidRPr="00BA5756">
        <w:rPr>
          <w:sz w:val="28"/>
          <w:szCs w:val="28"/>
        </w:rPr>
        <w:t xml:space="preserve"> рішення міської ради «</w:t>
      </w:r>
      <w:r w:rsidR="00713EA0" w:rsidRPr="00BA5756">
        <w:rPr>
          <w:sz w:val="28"/>
          <w:szCs w:val="28"/>
        </w:rPr>
        <w:t xml:space="preserve">Про внесення змін до рішення міської ради </w:t>
      </w:r>
      <w:r w:rsidR="00942FE3" w:rsidRPr="00BA5756">
        <w:rPr>
          <w:sz w:val="28"/>
          <w:szCs w:val="28"/>
        </w:rPr>
        <w:t>від</w:t>
      </w:r>
      <w:r w:rsidR="00CA6F4C" w:rsidRPr="00BA5756">
        <w:rPr>
          <w:sz w:val="28"/>
          <w:szCs w:val="28"/>
        </w:rPr>
        <w:t xml:space="preserve"> </w:t>
      </w:r>
      <w:r w:rsidR="00CA6F4C" w:rsidRPr="00BA5756">
        <w:rPr>
          <w:bCs/>
          <w:sz w:val="28"/>
          <w:szCs w:val="28"/>
          <w:lang w:eastAsia="ru-RU"/>
        </w:rPr>
        <w:t>15.10.2019 № 2-5345</w:t>
      </w:r>
      <w:r w:rsidR="00713EA0" w:rsidRPr="00BA5756">
        <w:rPr>
          <w:sz w:val="28"/>
          <w:szCs w:val="28"/>
        </w:rPr>
        <w:t xml:space="preserve"> «</w:t>
      </w:r>
      <w:r w:rsidR="00CA6F4C" w:rsidRPr="00BA5756">
        <w:rPr>
          <w:bCs/>
          <w:sz w:val="28"/>
          <w:szCs w:val="28"/>
          <w:lang w:eastAsia="ru-RU"/>
        </w:rPr>
        <w:t>Про затвердження міської програми забезпечення препаратами інсуліну хворих на цукровий діабет на 2019 рік</w:t>
      </w:r>
      <w:r w:rsidRPr="00BA5756">
        <w:rPr>
          <w:sz w:val="28"/>
          <w:szCs w:val="28"/>
        </w:rPr>
        <w:t>»</w:t>
      </w:r>
    </w:p>
    <w:p w:rsidR="00180A2D" w:rsidRPr="00BA5756" w:rsidRDefault="00180A2D" w:rsidP="00180A2D">
      <w:pPr>
        <w:rPr>
          <w:sz w:val="28"/>
          <w:szCs w:val="28"/>
        </w:rPr>
      </w:pPr>
    </w:p>
    <w:p w:rsidR="00180A2D" w:rsidRPr="00BA5756" w:rsidRDefault="00BA1D3D" w:rsidP="00625FF2">
      <w:pPr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 xml:space="preserve">Відповідно </w:t>
      </w:r>
      <w:r w:rsidR="00564C6E" w:rsidRPr="00BA5756">
        <w:rPr>
          <w:sz w:val="28"/>
          <w:szCs w:val="28"/>
        </w:rPr>
        <w:t>п</w:t>
      </w:r>
      <w:r w:rsidR="00564C6E" w:rsidRPr="00BA5756">
        <w:rPr>
          <w:sz w:val="28"/>
          <w:szCs w:val="28"/>
          <w:lang w:eastAsia="ru-RU"/>
        </w:rPr>
        <w:t xml:space="preserve">п.1, пп.3, </w:t>
      </w:r>
      <w:proofErr w:type="spellStart"/>
      <w:r w:rsidR="00564C6E" w:rsidRPr="00BA5756">
        <w:rPr>
          <w:sz w:val="28"/>
          <w:szCs w:val="28"/>
          <w:lang w:eastAsia="ru-RU"/>
        </w:rPr>
        <w:t>п.б</w:t>
      </w:r>
      <w:proofErr w:type="spellEnd"/>
      <w:r w:rsidR="00564C6E" w:rsidRPr="00BA5756">
        <w:rPr>
          <w:sz w:val="28"/>
          <w:szCs w:val="28"/>
          <w:lang w:eastAsia="ru-RU"/>
        </w:rPr>
        <w:t xml:space="preserve"> ст.32 </w:t>
      </w:r>
      <w:r w:rsidR="00564C6E" w:rsidRPr="00BA5756">
        <w:rPr>
          <w:sz w:val="28"/>
          <w:szCs w:val="28"/>
        </w:rPr>
        <w:t xml:space="preserve">Закону України «Про місцеве самоврядування в Україні», </w:t>
      </w:r>
      <w:r w:rsidR="00564C6E" w:rsidRPr="00BA5756">
        <w:rPr>
          <w:sz w:val="28"/>
          <w:szCs w:val="28"/>
          <w:lang w:eastAsia="ru-RU"/>
        </w:rPr>
        <w:t xml:space="preserve">ст.18 Закону України «Основи законодавства України про охорону здоров’я», постанов </w:t>
      </w:r>
      <w:r w:rsidR="004F2286" w:rsidRPr="00BA5756">
        <w:rPr>
          <w:sz w:val="28"/>
          <w:szCs w:val="28"/>
          <w:lang w:eastAsia="ru-RU"/>
        </w:rPr>
        <w:t>Кабінету Міністрів України</w:t>
      </w:r>
      <w:r w:rsidR="00564C6E" w:rsidRPr="00BA5756">
        <w:rPr>
          <w:sz w:val="28"/>
          <w:szCs w:val="28"/>
          <w:lang w:eastAsia="ru-RU"/>
        </w:rPr>
        <w:t xml:space="preserve"> від 05.03.2014 № 73 «Питання реалізації пілотного проекту щодо запровадження державного регулювання цін на препарати інсуліну», від 23.03.2016 № 239 «Деякі питання відшкодування вартості препаратів інсуліну», </w:t>
      </w:r>
      <w:r w:rsidR="00564C6E" w:rsidRPr="00BA5756">
        <w:rPr>
          <w:sz w:val="28"/>
          <w:szCs w:val="28"/>
        </w:rPr>
        <w:t>з метою забезпечення препаратами інсуліну хворих на цукровий діабет, що проживають у місті Черкаси</w:t>
      </w:r>
      <w:r w:rsidR="00564C6E" w:rsidRPr="00BA5756">
        <w:rPr>
          <w:sz w:val="28"/>
          <w:szCs w:val="28"/>
          <w:lang w:eastAsia="ru-RU"/>
        </w:rPr>
        <w:t>,</w:t>
      </w:r>
      <w:r w:rsidR="00564C6E" w:rsidRPr="00BA5756">
        <w:rPr>
          <w:sz w:val="28"/>
          <w:szCs w:val="28"/>
        </w:rPr>
        <w:t xml:space="preserve"> розглянувши пропозицію департаменту охорони здоров’я та медичних послуг, виконавчий комітет Черкаської міської ради</w:t>
      </w:r>
    </w:p>
    <w:p w:rsidR="00180A2D" w:rsidRPr="00BA5756" w:rsidRDefault="00180A2D" w:rsidP="00625FF2">
      <w:pPr>
        <w:jc w:val="both"/>
        <w:outlineLvl w:val="0"/>
        <w:rPr>
          <w:sz w:val="28"/>
          <w:szCs w:val="28"/>
        </w:rPr>
      </w:pPr>
      <w:r w:rsidRPr="00BA5756">
        <w:rPr>
          <w:sz w:val="28"/>
          <w:szCs w:val="28"/>
        </w:rPr>
        <w:t>ВИРІШИВ:</w:t>
      </w:r>
    </w:p>
    <w:p w:rsidR="00180A2D" w:rsidRPr="00BA5756" w:rsidRDefault="00180A2D" w:rsidP="00625FF2">
      <w:pPr>
        <w:ind w:firstLine="709"/>
        <w:jc w:val="both"/>
        <w:rPr>
          <w:b/>
          <w:sz w:val="28"/>
          <w:szCs w:val="28"/>
        </w:rPr>
      </w:pPr>
    </w:p>
    <w:p w:rsidR="00180A2D" w:rsidRPr="00BA5756" w:rsidRDefault="00EB10AF" w:rsidP="00625FF2">
      <w:pPr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1.</w:t>
      </w:r>
      <w:r w:rsidR="000A4ED8" w:rsidRPr="00BA5756">
        <w:rPr>
          <w:sz w:val="28"/>
          <w:szCs w:val="28"/>
        </w:rPr>
        <w:t xml:space="preserve"> </w:t>
      </w:r>
      <w:r w:rsidR="00180A2D" w:rsidRPr="00BA5756">
        <w:rPr>
          <w:sz w:val="28"/>
          <w:szCs w:val="28"/>
        </w:rPr>
        <w:t xml:space="preserve">Погодити і внести на розгляд та затвердження міської ради </w:t>
      </w:r>
      <w:proofErr w:type="spellStart"/>
      <w:r w:rsidR="00180A2D" w:rsidRPr="00BA5756">
        <w:rPr>
          <w:sz w:val="28"/>
          <w:szCs w:val="28"/>
        </w:rPr>
        <w:t>про</w:t>
      </w:r>
      <w:r w:rsidR="00555A01" w:rsidRPr="00BA5756">
        <w:rPr>
          <w:sz w:val="28"/>
          <w:szCs w:val="28"/>
        </w:rPr>
        <w:t>є</w:t>
      </w:r>
      <w:r w:rsidR="00180A2D" w:rsidRPr="00BA5756">
        <w:rPr>
          <w:sz w:val="28"/>
          <w:szCs w:val="28"/>
        </w:rPr>
        <w:t>кт</w:t>
      </w:r>
      <w:proofErr w:type="spellEnd"/>
      <w:r w:rsidR="00180A2D" w:rsidRPr="00BA5756">
        <w:rPr>
          <w:sz w:val="28"/>
          <w:szCs w:val="28"/>
        </w:rPr>
        <w:t xml:space="preserve"> рішення «</w:t>
      </w:r>
      <w:r w:rsidR="00564C6E" w:rsidRPr="00BA5756">
        <w:rPr>
          <w:sz w:val="28"/>
          <w:szCs w:val="28"/>
        </w:rPr>
        <w:t xml:space="preserve">Про внесення змін до рішення міської ради від </w:t>
      </w:r>
      <w:r w:rsidR="00564C6E" w:rsidRPr="00BA5756">
        <w:rPr>
          <w:bCs/>
          <w:sz w:val="28"/>
          <w:szCs w:val="28"/>
          <w:lang w:eastAsia="ru-RU"/>
        </w:rPr>
        <w:t>15.10.2019 № 2-5345</w:t>
      </w:r>
      <w:r w:rsidR="00564C6E" w:rsidRPr="00BA5756">
        <w:rPr>
          <w:sz w:val="28"/>
          <w:szCs w:val="28"/>
        </w:rPr>
        <w:t xml:space="preserve"> «</w:t>
      </w:r>
      <w:r w:rsidR="00564C6E" w:rsidRPr="00BA5756">
        <w:rPr>
          <w:bCs/>
          <w:sz w:val="28"/>
          <w:szCs w:val="28"/>
          <w:lang w:eastAsia="ru-RU"/>
        </w:rPr>
        <w:t>Про затвердження міської програми забезпечення препаратами інсуліну хворих на цукровий діабет на 2019 рік</w:t>
      </w:r>
      <w:r w:rsidR="00180A2D" w:rsidRPr="00BA5756">
        <w:rPr>
          <w:sz w:val="28"/>
          <w:szCs w:val="28"/>
        </w:rPr>
        <w:t>»</w:t>
      </w:r>
      <w:r w:rsidR="00CE21AB" w:rsidRPr="00BA5756">
        <w:rPr>
          <w:sz w:val="28"/>
          <w:szCs w:val="28"/>
        </w:rPr>
        <w:t>.</w:t>
      </w:r>
    </w:p>
    <w:p w:rsidR="00180A2D" w:rsidRPr="00BA5756" w:rsidRDefault="00180A2D" w:rsidP="00625FF2">
      <w:pPr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2.</w:t>
      </w:r>
      <w:r w:rsidR="00EB10AF" w:rsidRPr="00BA5756">
        <w:rPr>
          <w:sz w:val="28"/>
          <w:szCs w:val="28"/>
        </w:rPr>
        <w:t xml:space="preserve"> </w:t>
      </w:r>
      <w:r w:rsidRPr="00BA5756">
        <w:rPr>
          <w:sz w:val="28"/>
          <w:szCs w:val="28"/>
        </w:rPr>
        <w:t>Контроль за виконанням рішення покласти на директора департаменту охорони здоров’я та медичних послуг</w:t>
      </w:r>
      <w:r w:rsidR="000A4ED8" w:rsidRPr="00BA5756">
        <w:rPr>
          <w:sz w:val="28"/>
          <w:szCs w:val="28"/>
        </w:rPr>
        <w:t xml:space="preserve"> </w:t>
      </w:r>
      <w:r w:rsidRPr="00BA5756">
        <w:rPr>
          <w:sz w:val="28"/>
          <w:szCs w:val="28"/>
        </w:rPr>
        <w:t>Черкаської</w:t>
      </w:r>
      <w:r w:rsidR="000A4ED8" w:rsidRPr="00BA5756">
        <w:rPr>
          <w:sz w:val="28"/>
          <w:szCs w:val="28"/>
        </w:rPr>
        <w:t xml:space="preserve"> </w:t>
      </w:r>
      <w:r w:rsidRPr="00BA5756">
        <w:rPr>
          <w:sz w:val="28"/>
          <w:szCs w:val="28"/>
        </w:rPr>
        <w:t>міської</w:t>
      </w:r>
      <w:r w:rsidR="000A4ED8" w:rsidRPr="00BA5756">
        <w:rPr>
          <w:sz w:val="28"/>
          <w:szCs w:val="28"/>
        </w:rPr>
        <w:t xml:space="preserve"> </w:t>
      </w:r>
      <w:r w:rsidRPr="00BA5756">
        <w:rPr>
          <w:sz w:val="28"/>
          <w:szCs w:val="28"/>
        </w:rPr>
        <w:t>ради</w:t>
      </w:r>
      <w:r w:rsidR="000A4ED8" w:rsidRPr="00BA5756">
        <w:rPr>
          <w:sz w:val="28"/>
          <w:szCs w:val="28"/>
        </w:rPr>
        <w:t xml:space="preserve"> </w:t>
      </w:r>
      <w:r w:rsidRPr="00BA5756">
        <w:rPr>
          <w:sz w:val="28"/>
          <w:szCs w:val="28"/>
        </w:rPr>
        <w:t>Стадника О.М.</w:t>
      </w:r>
    </w:p>
    <w:p w:rsidR="00180A2D" w:rsidRPr="00BA5756" w:rsidRDefault="00180A2D" w:rsidP="00180A2D">
      <w:pPr>
        <w:jc w:val="both"/>
        <w:rPr>
          <w:sz w:val="28"/>
          <w:szCs w:val="28"/>
        </w:rPr>
      </w:pPr>
    </w:p>
    <w:p w:rsidR="00180A2D" w:rsidRPr="00BA5756" w:rsidRDefault="00180A2D" w:rsidP="00180A2D">
      <w:pPr>
        <w:rPr>
          <w:sz w:val="28"/>
          <w:szCs w:val="28"/>
        </w:rPr>
      </w:pPr>
    </w:p>
    <w:p w:rsidR="00180A2D" w:rsidRPr="00BA5756" w:rsidRDefault="00180A2D" w:rsidP="00C7159B">
      <w:pPr>
        <w:rPr>
          <w:sz w:val="28"/>
          <w:szCs w:val="28"/>
        </w:rPr>
      </w:pPr>
      <w:r w:rsidRPr="00BA5756">
        <w:rPr>
          <w:sz w:val="28"/>
          <w:szCs w:val="28"/>
        </w:rPr>
        <w:t>Міський голова</w:t>
      </w:r>
      <w:r w:rsidR="00C7159B" w:rsidRPr="00BA5756">
        <w:rPr>
          <w:sz w:val="28"/>
          <w:szCs w:val="28"/>
        </w:rPr>
        <w:t xml:space="preserve">                                      </w:t>
      </w:r>
      <w:r w:rsidRPr="00BA5756">
        <w:rPr>
          <w:sz w:val="28"/>
          <w:szCs w:val="28"/>
        </w:rPr>
        <w:t xml:space="preserve"> </w:t>
      </w:r>
      <w:r w:rsidR="00C7159B" w:rsidRPr="00BA5756">
        <w:rPr>
          <w:sz w:val="28"/>
          <w:szCs w:val="28"/>
        </w:rPr>
        <w:t xml:space="preserve">                                          </w:t>
      </w:r>
      <w:r w:rsidRPr="00BA5756">
        <w:rPr>
          <w:sz w:val="28"/>
          <w:szCs w:val="28"/>
        </w:rPr>
        <w:t>А.В. Бондаренко</w:t>
      </w:r>
    </w:p>
    <w:p w:rsidR="00625FF2" w:rsidRPr="00BA5756" w:rsidRDefault="00625FF2" w:rsidP="00F323A2">
      <w:pPr>
        <w:jc w:val="both"/>
        <w:rPr>
          <w:sz w:val="28"/>
          <w:szCs w:val="28"/>
        </w:rPr>
        <w:sectPr w:rsidR="00625FF2" w:rsidRPr="00BA5756" w:rsidSect="00595D31">
          <w:type w:val="continuous"/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C612E0" w:rsidRPr="00BA5756" w:rsidRDefault="00C612E0" w:rsidP="00F323A2">
      <w:pPr>
        <w:jc w:val="both"/>
        <w:rPr>
          <w:sz w:val="28"/>
          <w:szCs w:val="28"/>
        </w:rPr>
      </w:pPr>
    </w:p>
    <w:tbl>
      <w:tblPr>
        <w:tblW w:w="10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05"/>
        <w:gridCol w:w="1064"/>
        <w:gridCol w:w="1033"/>
        <w:gridCol w:w="1647"/>
        <w:gridCol w:w="804"/>
        <w:gridCol w:w="1194"/>
        <w:gridCol w:w="1160"/>
        <w:gridCol w:w="1160"/>
      </w:tblGrid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>
            <w:pPr>
              <w:jc w:val="center"/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A22D85" w:rsidRPr="00BA5756" w:rsidRDefault="00A22D85" w:rsidP="00751692">
            <w:pPr>
              <w:rPr>
                <w:b/>
                <w:sz w:val="28"/>
                <w:szCs w:val="28"/>
              </w:rPr>
            </w:pPr>
            <w:r w:rsidRPr="00BA5756">
              <w:rPr>
                <w:b/>
                <w:sz w:val="28"/>
                <w:szCs w:val="28"/>
              </w:rPr>
              <w:t>Проект рішення</w:t>
            </w:r>
          </w:p>
        </w:tc>
      </w:tr>
      <w:tr w:rsidR="00A22D85" w:rsidRPr="00BA5756" w:rsidTr="00777D7A">
        <w:trPr>
          <w:trHeight w:val="898"/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>
            <w:pPr>
              <w:jc w:val="center"/>
            </w:pPr>
            <w:r w:rsidRPr="00BA5756"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.75pt" o:ole="" fillcolor="window">
                  <v:imagedata r:id="rId10" o:title=""/>
                </v:shape>
                <o:OLEObject Type="Embed" ProgID="PBrush" ShapeID="_x0000_i1025" DrawAspect="Content" ObjectID="_1644643346" r:id="rId11"/>
              </w:objec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D85" w:rsidRPr="00BA5756" w:rsidRDefault="00A22D85" w:rsidP="00751692">
            <w:pPr>
              <w:rPr>
                <w:b/>
                <w:sz w:val="36"/>
                <w:szCs w:val="36"/>
              </w:rPr>
            </w:pPr>
            <w:r w:rsidRPr="00BA5756">
              <w:rPr>
                <w:b/>
                <w:sz w:val="36"/>
                <w:szCs w:val="36"/>
              </w:rPr>
              <w:t xml:space="preserve">№ </w:t>
            </w:r>
          </w:p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5662" w:type="dxa"/>
            <w:gridSpan w:val="5"/>
            <w:shd w:val="clear" w:color="auto" w:fill="auto"/>
            <w:noWrap/>
            <w:vAlign w:val="center"/>
          </w:tcPr>
          <w:p w:rsidR="00A22D85" w:rsidRPr="00BA5756" w:rsidRDefault="00A22D85" w:rsidP="00751692">
            <w:pPr>
              <w:jc w:val="center"/>
            </w:pPr>
            <w:r w:rsidRPr="00BA5756">
              <w:rPr>
                <w:sz w:val="36"/>
                <w:szCs w:val="36"/>
              </w:rPr>
              <w:t>ЧЕРКАСЬКА МІСЬКА РАДА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>
            <w:r w:rsidRPr="00BA5756">
              <w:t>&lt;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429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C7159B" w:rsidP="00777D7A">
            <w:pPr>
              <w:tabs>
                <w:tab w:val="left" w:pos="-1404"/>
                <w:tab w:val="left" w:pos="0"/>
                <w:tab w:val="left" w:pos="4286"/>
              </w:tabs>
              <w:ind w:right="248"/>
              <w:jc w:val="both"/>
              <w:rPr>
                <w:b/>
                <w:sz w:val="28"/>
                <w:szCs w:val="28"/>
              </w:rPr>
            </w:pPr>
            <w:r w:rsidRPr="00BA5756">
              <w:rPr>
                <w:b/>
                <w:sz w:val="28"/>
                <w:szCs w:val="28"/>
              </w:rPr>
              <w:t xml:space="preserve">Про внесення змін до рішення міської ради від </w:t>
            </w:r>
            <w:r w:rsidRPr="00BA5756">
              <w:rPr>
                <w:b/>
                <w:bCs/>
                <w:sz w:val="28"/>
                <w:szCs w:val="28"/>
                <w:lang w:eastAsia="ru-RU"/>
              </w:rPr>
              <w:t>15.10.2019 № 2-5345</w:t>
            </w:r>
            <w:r w:rsidRPr="00BA5756">
              <w:rPr>
                <w:b/>
                <w:sz w:val="28"/>
                <w:szCs w:val="28"/>
              </w:rPr>
              <w:t xml:space="preserve"> «</w:t>
            </w:r>
            <w:r w:rsidRPr="00BA5756">
              <w:rPr>
                <w:b/>
                <w:bCs/>
                <w:sz w:val="28"/>
                <w:szCs w:val="28"/>
                <w:lang w:eastAsia="ru-RU"/>
              </w:rPr>
              <w:t>Про затвердження міської програми забезпечення препаратами інсуліну хворих на цукровий діабет на 2019 рік</w:t>
            </w:r>
            <w:r w:rsidR="00316129" w:rsidRPr="00BA575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>
            <w:r w:rsidRPr="00BA5756">
              <w:t>&gt;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0182" w:type="dxa"/>
            <w:gridSpan w:val="9"/>
            <w:shd w:val="clear" w:color="auto" w:fill="auto"/>
            <w:noWrap/>
            <w:vAlign w:val="center"/>
          </w:tcPr>
          <w:p w:rsidR="00A22D85" w:rsidRPr="00BA5756" w:rsidRDefault="00A6338B" w:rsidP="0042421A">
            <w:pPr>
              <w:ind w:firstLine="748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Відповідно до </w:t>
            </w:r>
            <w:r w:rsidRPr="00BA5756">
              <w:rPr>
                <w:sz w:val="28"/>
                <w:szCs w:val="28"/>
                <w:lang w:eastAsia="ru-RU"/>
              </w:rPr>
              <w:t xml:space="preserve">п. 22 ч. 1 ст. 26 Закону України </w:t>
            </w:r>
            <w:r w:rsidRPr="00BA5756">
              <w:rPr>
                <w:sz w:val="28"/>
                <w:szCs w:val="28"/>
              </w:rPr>
              <w:t>«Про місцеве самоврядування в Україні», ст. 18 Закону України «Основи законодавства України про охорону здоров’я», постанов КМУ від 05.03.2014 № 73 «Питання реалізації пілотного проекту щодо запровадження державного регулювання цін на препарати інсуліну», від 23.03.2016 № 239 «Деякі питання відшкодування вартості препаратів інсуліну», з метою забезпечення препаратами інсуліну хворих на цукровий діабет, що проживають у місті Черкаси, Черкаська міська рада</w:t>
            </w:r>
          </w:p>
          <w:p w:rsidR="00A22D85" w:rsidRPr="00BA5756" w:rsidRDefault="00A22D85" w:rsidP="00751692">
            <w:pPr>
              <w:tabs>
                <w:tab w:val="left" w:pos="-1404"/>
                <w:tab w:val="left" w:pos="0"/>
              </w:tabs>
              <w:ind w:right="15"/>
              <w:rPr>
                <w:sz w:val="28"/>
              </w:rPr>
            </w:pPr>
            <w:r w:rsidRPr="00BA5756">
              <w:rPr>
                <w:sz w:val="28"/>
              </w:rPr>
              <w:t>ВИРІШИЛА:</w:t>
            </w:r>
          </w:p>
          <w:p w:rsidR="00A22D85" w:rsidRPr="00BA5756" w:rsidRDefault="00A22D85" w:rsidP="00751692">
            <w:pPr>
              <w:tabs>
                <w:tab w:val="left" w:pos="-1404"/>
                <w:tab w:val="left" w:pos="0"/>
              </w:tabs>
              <w:ind w:right="15"/>
              <w:rPr>
                <w:sz w:val="28"/>
              </w:rPr>
            </w:pPr>
          </w:p>
          <w:p w:rsidR="003F3968" w:rsidRPr="00BA5756" w:rsidRDefault="00A22D85" w:rsidP="00CB4C0A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</w:rPr>
              <w:t xml:space="preserve">1. </w:t>
            </w:r>
            <w:r w:rsidR="003F3968" w:rsidRPr="00BA5756">
              <w:rPr>
                <w:sz w:val="28"/>
                <w:szCs w:val="28"/>
              </w:rPr>
              <w:t xml:space="preserve">Внести зміни до </w:t>
            </w:r>
            <w:r w:rsidR="002925E2" w:rsidRPr="00BA5756">
              <w:rPr>
                <w:sz w:val="28"/>
              </w:rPr>
              <w:t xml:space="preserve">рішення міської ради </w:t>
            </w:r>
            <w:r w:rsidR="00A6338B" w:rsidRPr="00BA5756">
              <w:rPr>
                <w:sz w:val="28"/>
                <w:szCs w:val="28"/>
              </w:rPr>
              <w:t xml:space="preserve">від </w:t>
            </w:r>
            <w:r w:rsidR="00A6338B" w:rsidRPr="00BA5756">
              <w:rPr>
                <w:bCs/>
                <w:sz w:val="28"/>
                <w:szCs w:val="28"/>
                <w:lang w:eastAsia="ru-RU"/>
              </w:rPr>
              <w:t>15.10.2019 № 2-5345</w:t>
            </w:r>
            <w:r w:rsidR="00A6338B" w:rsidRPr="00BA5756">
              <w:rPr>
                <w:sz w:val="28"/>
                <w:szCs w:val="28"/>
              </w:rPr>
              <w:t xml:space="preserve"> «</w:t>
            </w:r>
            <w:r w:rsidR="00A6338B" w:rsidRPr="00BA5756">
              <w:rPr>
                <w:bCs/>
                <w:sz w:val="28"/>
                <w:szCs w:val="28"/>
                <w:lang w:eastAsia="ru-RU"/>
              </w:rPr>
              <w:t>Про затвердження міської програми забезпечення препаратами інсуліну хворих на цукровий діабет на 2019 рік</w:t>
            </w:r>
            <w:r w:rsidR="003F3968" w:rsidRPr="00BA5756">
              <w:rPr>
                <w:sz w:val="28"/>
                <w:szCs w:val="28"/>
              </w:rPr>
              <w:t>», а саме:</w:t>
            </w:r>
          </w:p>
          <w:p w:rsidR="003F3968" w:rsidRPr="00BA5756" w:rsidRDefault="003F3968" w:rsidP="00CB4C0A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1.1. Викласти назву </w:t>
            </w:r>
            <w:r w:rsidR="006A278C" w:rsidRPr="00BA5756">
              <w:rPr>
                <w:sz w:val="28"/>
                <w:szCs w:val="28"/>
              </w:rPr>
              <w:t>п</w:t>
            </w:r>
            <w:r w:rsidRPr="00BA5756">
              <w:rPr>
                <w:sz w:val="28"/>
                <w:szCs w:val="28"/>
              </w:rPr>
              <w:t>рограми у новій редакції: «</w:t>
            </w:r>
            <w:r w:rsidR="00A6338B" w:rsidRPr="00BA5756">
              <w:rPr>
                <w:sz w:val="28"/>
                <w:szCs w:val="28"/>
              </w:rPr>
              <w:t>З</w:t>
            </w:r>
            <w:r w:rsidR="00A6338B" w:rsidRPr="00BA5756">
              <w:rPr>
                <w:bCs/>
                <w:sz w:val="28"/>
                <w:szCs w:val="28"/>
                <w:lang w:eastAsia="ru-RU"/>
              </w:rPr>
              <w:t xml:space="preserve">абезпечення препаратами інсуліну хворих на цукровий діабет </w:t>
            </w:r>
            <w:r w:rsidR="002925E2" w:rsidRPr="00BA5756">
              <w:rPr>
                <w:sz w:val="28"/>
                <w:szCs w:val="28"/>
              </w:rPr>
              <w:t xml:space="preserve">на 2019 </w:t>
            </w:r>
            <w:r w:rsidRPr="00BA5756">
              <w:rPr>
                <w:sz w:val="28"/>
                <w:szCs w:val="28"/>
              </w:rPr>
              <w:t>- 2020 роки»</w:t>
            </w:r>
            <w:r w:rsidR="00CB6706" w:rsidRPr="00BA5756">
              <w:rPr>
                <w:sz w:val="28"/>
                <w:szCs w:val="28"/>
              </w:rPr>
              <w:t xml:space="preserve"> (далі – Програма)</w:t>
            </w:r>
            <w:r w:rsidRPr="00BA5756">
              <w:rPr>
                <w:sz w:val="28"/>
                <w:szCs w:val="28"/>
              </w:rPr>
              <w:t>.</w:t>
            </w:r>
          </w:p>
          <w:p w:rsidR="00AD3082" w:rsidRPr="00BA5756" w:rsidRDefault="00C87B3F" w:rsidP="009D4DBD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1.</w:t>
            </w:r>
            <w:r w:rsidR="00F731E5" w:rsidRPr="00BA5756">
              <w:rPr>
                <w:sz w:val="28"/>
                <w:szCs w:val="28"/>
              </w:rPr>
              <w:t>2</w:t>
            </w:r>
            <w:r w:rsidRPr="00BA5756">
              <w:rPr>
                <w:sz w:val="28"/>
                <w:szCs w:val="28"/>
              </w:rPr>
              <w:t xml:space="preserve">. </w:t>
            </w:r>
            <w:r w:rsidR="00AD3082" w:rsidRPr="00BA5756">
              <w:rPr>
                <w:sz w:val="28"/>
                <w:szCs w:val="28"/>
              </w:rPr>
              <w:t>Розділ 3 Програми доповнити абзацом наступного змісту:</w:t>
            </w:r>
          </w:p>
          <w:p w:rsidR="004B4874" w:rsidRPr="00BA5756" w:rsidRDefault="00AD3082" w:rsidP="004B4874">
            <w:pPr>
              <w:ind w:firstLine="611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«</w:t>
            </w:r>
            <w:r w:rsidR="004B4874" w:rsidRPr="00BA5756">
              <w:rPr>
                <w:sz w:val="28"/>
                <w:szCs w:val="28"/>
              </w:rPr>
              <w:t>У 2020 році також зберігається проблема недофінансування зазначених видатків за рахунок коштів цільової субвенції з обласного бюджету на здійснення переданих видатків у сфері охорони здоров’я за рахунок коштів медичної субвенції (цільові видатки на лікування хворих на цукровий та нецукровий діабет).».</w:t>
            </w:r>
          </w:p>
          <w:p w:rsidR="00A66490" w:rsidRPr="00BA5756" w:rsidRDefault="004B4874" w:rsidP="009D4DBD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 </w:t>
            </w:r>
            <w:r w:rsidR="00AD3082" w:rsidRPr="00BA5756">
              <w:rPr>
                <w:sz w:val="28"/>
                <w:szCs w:val="28"/>
              </w:rPr>
              <w:t xml:space="preserve">1.3. </w:t>
            </w:r>
            <w:r w:rsidR="001245A2" w:rsidRPr="00BA5756">
              <w:rPr>
                <w:sz w:val="28"/>
                <w:szCs w:val="28"/>
              </w:rPr>
              <w:t>А</w:t>
            </w:r>
            <w:r w:rsidR="00A66490" w:rsidRPr="00BA5756">
              <w:rPr>
                <w:sz w:val="28"/>
                <w:szCs w:val="28"/>
              </w:rPr>
              <w:t xml:space="preserve">бзац </w:t>
            </w:r>
            <w:r w:rsidR="001057AB" w:rsidRPr="00BA5756">
              <w:rPr>
                <w:sz w:val="28"/>
                <w:szCs w:val="28"/>
              </w:rPr>
              <w:t>4</w:t>
            </w:r>
            <w:r w:rsidR="00A66490" w:rsidRPr="00BA5756">
              <w:rPr>
                <w:sz w:val="28"/>
                <w:szCs w:val="28"/>
              </w:rPr>
              <w:t xml:space="preserve"> </w:t>
            </w:r>
            <w:r w:rsidR="003F3968" w:rsidRPr="00BA5756">
              <w:rPr>
                <w:sz w:val="28"/>
                <w:szCs w:val="28"/>
              </w:rPr>
              <w:t>розділ</w:t>
            </w:r>
            <w:r w:rsidR="00A66490" w:rsidRPr="00BA5756">
              <w:rPr>
                <w:sz w:val="28"/>
                <w:szCs w:val="28"/>
              </w:rPr>
              <w:t>у</w:t>
            </w:r>
            <w:r w:rsidR="003F3968" w:rsidRPr="00BA5756">
              <w:rPr>
                <w:sz w:val="28"/>
                <w:szCs w:val="28"/>
              </w:rPr>
              <w:t xml:space="preserve"> </w:t>
            </w:r>
            <w:r w:rsidR="00A66490" w:rsidRPr="00BA5756">
              <w:rPr>
                <w:sz w:val="28"/>
                <w:szCs w:val="28"/>
              </w:rPr>
              <w:t>5</w:t>
            </w:r>
            <w:r w:rsidR="003F3968" w:rsidRPr="00BA5756">
              <w:rPr>
                <w:sz w:val="28"/>
                <w:szCs w:val="28"/>
              </w:rPr>
              <w:t xml:space="preserve"> Програми </w:t>
            </w:r>
            <w:r w:rsidR="001245A2" w:rsidRPr="00BA5756">
              <w:rPr>
                <w:sz w:val="28"/>
                <w:szCs w:val="28"/>
              </w:rPr>
              <w:t xml:space="preserve">викласти </w:t>
            </w:r>
            <w:r w:rsidR="00CB4C0A" w:rsidRPr="00BA5756">
              <w:rPr>
                <w:sz w:val="28"/>
                <w:szCs w:val="27"/>
              </w:rPr>
              <w:t>у новій редакції</w:t>
            </w:r>
            <w:r w:rsidR="00A66490" w:rsidRPr="00BA5756">
              <w:rPr>
                <w:sz w:val="28"/>
                <w:szCs w:val="28"/>
              </w:rPr>
              <w:t>:</w:t>
            </w:r>
            <w:r w:rsidR="009D4DBD" w:rsidRPr="00BA5756">
              <w:rPr>
                <w:sz w:val="28"/>
                <w:szCs w:val="28"/>
              </w:rPr>
              <w:t xml:space="preserve"> </w:t>
            </w:r>
            <w:r w:rsidR="00A66490" w:rsidRPr="00BA5756">
              <w:rPr>
                <w:sz w:val="28"/>
                <w:szCs w:val="28"/>
              </w:rPr>
              <w:t>«Строк виконання програми – 2019-2020 роки».</w:t>
            </w:r>
          </w:p>
          <w:p w:rsidR="003F3968" w:rsidRPr="00BA5756" w:rsidRDefault="00CB4C0A" w:rsidP="00CB4C0A">
            <w:pPr>
              <w:shd w:val="clear" w:color="auto" w:fill="FFFFFF"/>
              <w:ind w:firstLine="535"/>
              <w:jc w:val="both"/>
              <w:rPr>
                <w:sz w:val="28"/>
              </w:rPr>
            </w:pPr>
            <w:r w:rsidRPr="00BA5756">
              <w:rPr>
                <w:sz w:val="28"/>
                <w:szCs w:val="28"/>
              </w:rPr>
              <w:t>1.</w:t>
            </w:r>
            <w:r w:rsidR="00AD3082" w:rsidRPr="00BA5756">
              <w:rPr>
                <w:sz w:val="28"/>
                <w:szCs w:val="28"/>
              </w:rPr>
              <w:t>4</w:t>
            </w:r>
            <w:r w:rsidRPr="00BA5756">
              <w:rPr>
                <w:sz w:val="28"/>
                <w:szCs w:val="28"/>
              </w:rPr>
              <w:t xml:space="preserve">. </w:t>
            </w:r>
            <w:r w:rsidRPr="00BA5756">
              <w:rPr>
                <w:sz w:val="28"/>
                <w:szCs w:val="27"/>
              </w:rPr>
              <w:t xml:space="preserve">У </w:t>
            </w:r>
            <w:r w:rsidR="00064C3A" w:rsidRPr="00BA5756">
              <w:rPr>
                <w:sz w:val="28"/>
                <w:szCs w:val="27"/>
              </w:rPr>
              <w:t xml:space="preserve">пункті </w:t>
            </w:r>
            <w:r w:rsidRPr="00BA5756">
              <w:rPr>
                <w:sz w:val="28"/>
                <w:szCs w:val="27"/>
              </w:rPr>
              <w:t>6.1. розділу 6 Програми цифри і слов</w:t>
            </w:r>
            <w:r w:rsidR="00CD4E0F" w:rsidRPr="00BA5756">
              <w:rPr>
                <w:sz w:val="28"/>
                <w:szCs w:val="27"/>
              </w:rPr>
              <w:t>о</w:t>
            </w:r>
            <w:r w:rsidRPr="00BA5756">
              <w:rPr>
                <w:sz w:val="28"/>
                <w:szCs w:val="27"/>
              </w:rPr>
              <w:t xml:space="preserve"> «</w:t>
            </w:r>
            <w:r w:rsidRPr="00BA5756">
              <w:rPr>
                <w:sz w:val="28"/>
              </w:rPr>
              <w:t>2019 році» замінити цифрами і слов</w:t>
            </w:r>
            <w:r w:rsidR="00CD4E0F" w:rsidRPr="00BA5756">
              <w:rPr>
                <w:sz w:val="28"/>
              </w:rPr>
              <w:t>ом</w:t>
            </w:r>
            <w:r w:rsidRPr="00BA5756">
              <w:rPr>
                <w:sz w:val="28"/>
              </w:rPr>
              <w:t xml:space="preserve"> «2019-2020 роках».</w:t>
            </w:r>
          </w:p>
          <w:p w:rsidR="00CB4C0A" w:rsidRPr="00BA5756" w:rsidRDefault="00CB4C0A" w:rsidP="00CB4C0A">
            <w:pPr>
              <w:shd w:val="clear" w:color="auto" w:fill="FFFFFF"/>
              <w:ind w:firstLine="535"/>
              <w:jc w:val="both"/>
              <w:rPr>
                <w:sz w:val="28"/>
                <w:szCs w:val="27"/>
              </w:rPr>
            </w:pPr>
            <w:r w:rsidRPr="00BA5756">
              <w:rPr>
                <w:sz w:val="28"/>
              </w:rPr>
              <w:t>1.</w:t>
            </w:r>
            <w:r w:rsidR="00AD3082" w:rsidRPr="00BA5756">
              <w:rPr>
                <w:sz w:val="28"/>
              </w:rPr>
              <w:t>5</w:t>
            </w:r>
            <w:r w:rsidRPr="00BA5756">
              <w:rPr>
                <w:sz w:val="28"/>
              </w:rPr>
              <w:t xml:space="preserve">. </w:t>
            </w:r>
            <w:r w:rsidR="00C5522D" w:rsidRPr="00BA5756">
              <w:rPr>
                <w:sz w:val="28"/>
                <w:szCs w:val="27"/>
              </w:rPr>
              <w:t xml:space="preserve">Викласти </w:t>
            </w:r>
            <w:r w:rsidR="00064C3A" w:rsidRPr="00BA5756">
              <w:rPr>
                <w:sz w:val="28"/>
                <w:szCs w:val="27"/>
              </w:rPr>
              <w:t xml:space="preserve">пункт </w:t>
            </w:r>
            <w:r w:rsidR="00C5522D" w:rsidRPr="00BA5756">
              <w:rPr>
                <w:sz w:val="28"/>
                <w:szCs w:val="27"/>
              </w:rPr>
              <w:t>6.3. розділу 6 у новій редакції:</w:t>
            </w:r>
          </w:p>
          <w:p w:rsidR="00BD216C" w:rsidRPr="00BA5756" w:rsidRDefault="00BD216C" w:rsidP="00CB4C0A">
            <w:pPr>
              <w:shd w:val="clear" w:color="auto" w:fill="FFFFFF"/>
              <w:ind w:firstLine="535"/>
              <w:jc w:val="both"/>
              <w:rPr>
                <w:sz w:val="28"/>
                <w:szCs w:val="27"/>
              </w:rPr>
            </w:pPr>
            <w:r w:rsidRPr="00BA5756">
              <w:rPr>
                <w:sz w:val="28"/>
                <w:szCs w:val="27"/>
              </w:rPr>
              <w:t>«</w:t>
            </w:r>
            <w:r w:rsidRPr="00BA5756">
              <w:rPr>
                <w:sz w:val="28"/>
                <w:szCs w:val="28"/>
              </w:rPr>
              <w:t>Напрямки використання бюджетних коштів: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5515"/>
              <w:gridCol w:w="1296"/>
              <w:gridCol w:w="1296"/>
              <w:gridCol w:w="1753"/>
            </w:tblGrid>
            <w:tr w:rsidR="001057AB" w:rsidRPr="00BA5756" w:rsidTr="001057AB">
              <w:tc>
                <w:tcPr>
                  <w:tcW w:w="231" w:type="pct"/>
                  <w:vMerge w:val="restart"/>
                </w:tcPr>
                <w:p w:rsidR="001057AB" w:rsidRPr="00BA5756" w:rsidRDefault="001057AB" w:rsidP="0008561F">
                  <w:pPr>
                    <w:jc w:val="center"/>
                  </w:pPr>
                  <w:r w:rsidRPr="00BA5756">
                    <w:t>№</w:t>
                  </w:r>
                </w:p>
              </w:tc>
              <w:tc>
                <w:tcPr>
                  <w:tcW w:w="2683" w:type="pct"/>
                  <w:vMerge w:val="restart"/>
                </w:tcPr>
                <w:p w:rsidR="001057AB" w:rsidRPr="00BA5756" w:rsidRDefault="001057AB" w:rsidP="0008561F">
                  <w:pPr>
                    <w:jc w:val="center"/>
                  </w:pPr>
                  <w:r w:rsidRPr="00BA5756">
                    <w:t>Напрямки використання</w:t>
                  </w:r>
                </w:p>
              </w:tc>
              <w:tc>
                <w:tcPr>
                  <w:tcW w:w="1226" w:type="pct"/>
                  <w:gridSpan w:val="2"/>
                </w:tcPr>
                <w:p w:rsidR="001057AB" w:rsidRPr="00BA5756" w:rsidRDefault="001057AB" w:rsidP="007B0A88">
                  <w:pPr>
                    <w:jc w:val="center"/>
                  </w:pPr>
                  <w:r w:rsidRPr="00BA5756">
                    <w:rPr>
                      <w:lang w:eastAsia="ru-RU"/>
                    </w:rPr>
                    <w:t>Витрати на рік, тис. грн.</w:t>
                  </w:r>
                </w:p>
              </w:tc>
              <w:tc>
                <w:tcPr>
                  <w:tcW w:w="861" w:type="pct"/>
                  <w:vMerge w:val="restart"/>
                </w:tcPr>
                <w:p w:rsidR="001057AB" w:rsidRPr="00BA5756" w:rsidRDefault="001057AB" w:rsidP="00316903">
                  <w:pPr>
                    <w:jc w:val="center"/>
                    <w:rPr>
                      <w:lang w:eastAsia="ru-RU"/>
                    </w:rPr>
                  </w:pPr>
                  <w:r w:rsidRPr="00BA5756">
                    <w:rPr>
                      <w:lang w:eastAsia="ru-RU"/>
                    </w:rPr>
                    <w:t>Всього за 2019 – 2020 роки, тис. грн.</w:t>
                  </w:r>
                </w:p>
              </w:tc>
            </w:tr>
            <w:tr w:rsidR="001057AB" w:rsidRPr="00BA5756" w:rsidTr="001057AB">
              <w:tc>
                <w:tcPr>
                  <w:tcW w:w="231" w:type="pct"/>
                  <w:vMerge/>
                </w:tcPr>
                <w:p w:rsidR="001057AB" w:rsidRPr="00BA5756" w:rsidRDefault="001057AB" w:rsidP="00872906">
                  <w:pPr>
                    <w:jc w:val="both"/>
                  </w:pPr>
                </w:p>
              </w:tc>
              <w:tc>
                <w:tcPr>
                  <w:tcW w:w="2683" w:type="pct"/>
                  <w:vMerge/>
                </w:tcPr>
                <w:p w:rsidR="001057AB" w:rsidRPr="00BA5756" w:rsidRDefault="001057AB" w:rsidP="00872906">
                  <w:pPr>
                    <w:jc w:val="both"/>
                  </w:pPr>
                </w:p>
              </w:tc>
              <w:tc>
                <w:tcPr>
                  <w:tcW w:w="613" w:type="pct"/>
                </w:tcPr>
                <w:p w:rsidR="001057AB" w:rsidRPr="00BA5756" w:rsidRDefault="001057AB" w:rsidP="00872906">
                  <w:pPr>
                    <w:jc w:val="center"/>
                  </w:pPr>
                  <w:r w:rsidRPr="00BA5756">
                    <w:t>2019 рік</w:t>
                  </w:r>
                </w:p>
              </w:tc>
              <w:tc>
                <w:tcPr>
                  <w:tcW w:w="613" w:type="pct"/>
                </w:tcPr>
                <w:p w:rsidR="001057AB" w:rsidRPr="00BA5756" w:rsidRDefault="001057AB" w:rsidP="00872906">
                  <w:pPr>
                    <w:jc w:val="center"/>
                  </w:pPr>
                  <w:r w:rsidRPr="00BA5756">
                    <w:t>2020 рік</w:t>
                  </w:r>
                </w:p>
              </w:tc>
              <w:tc>
                <w:tcPr>
                  <w:tcW w:w="861" w:type="pct"/>
                  <w:vMerge/>
                </w:tcPr>
                <w:p w:rsidR="001057AB" w:rsidRPr="00BA5756" w:rsidRDefault="001057AB" w:rsidP="00872906">
                  <w:pPr>
                    <w:jc w:val="center"/>
                  </w:pPr>
                </w:p>
              </w:tc>
            </w:tr>
            <w:tr w:rsidR="001057AB" w:rsidRPr="00BA5756" w:rsidTr="001057AB">
              <w:tc>
                <w:tcPr>
                  <w:tcW w:w="231" w:type="pct"/>
                </w:tcPr>
                <w:p w:rsidR="001057AB" w:rsidRPr="00BA5756" w:rsidRDefault="001057AB" w:rsidP="0008561F">
                  <w:pPr>
                    <w:jc w:val="both"/>
                  </w:pPr>
                  <w:r w:rsidRPr="00BA5756">
                    <w:t>1</w:t>
                  </w:r>
                </w:p>
              </w:tc>
              <w:tc>
                <w:tcPr>
                  <w:tcW w:w="2683" w:type="pct"/>
                </w:tcPr>
                <w:p w:rsidR="001057AB" w:rsidRPr="00BA5756" w:rsidRDefault="001057AB" w:rsidP="0008561F">
                  <w:r w:rsidRPr="00BA5756">
                    <w:rPr>
                      <w:rStyle w:val="rvts0"/>
                    </w:rPr>
                    <w:t>Відшкодування вартості препаратів інсуліну</w:t>
                  </w:r>
                </w:p>
              </w:tc>
              <w:tc>
                <w:tcPr>
                  <w:tcW w:w="613" w:type="pct"/>
                </w:tcPr>
                <w:p w:rsidR="001057AB" w:rsidRPr="00BA5756" w:rsidRDefault="001057AB" w:rsidP="001057AB">
                  <w:pPr>
                    <w:jc w:val="center"/>
                    <w:rPr>
                      <w:b/>
                      <w:bCs/>
                    </w:rPr>
                  </w:pPr>
                  <w:r w:rsidRPr="00BA5756">
                    <w:rPr>
                      <w:b/>
                      <w:bCs/>
                    </w:rPr>
                    <w:t xml:space="preserve">13 921,816  </w:t>
                  </w:r>
                </w:p>
              </w:tc>
              <w:tc>
                <w:tcPr>
                  <w:tcW w:w="613" w:type="pct"/>
                </w:tcPr>
                <w:p w:rsidR="001057AB" w:rsidRPr="00BA5756" w:rsidRDefault="001057AB" w:rsidP="001057AB">
                  <w:pPr>
                    <w:jc w:val="center"/>
                    <w:rPr>
                      <w:b/>
                      <w:bCs/>
                    </w:rPr>
                  </w:pPr>
                  <w:r w:rsidRPr="00BA5756">
                    <w:rPr>
                      <w:b/>
                      <w:bCs/>
                    </w:rPr>
                    <w:t xml:space="preserve">14 757,125  </w:t>
                  </w:r>
                </w:p>
              </w:tc>
              <w:tc>
                <w:tcPr>
                  <w:tcW w:w="861" w:type="pct"/>
                  <w:vAlign w:val="center"/>
                </w:tcPr>
                <w:p w:rsidR="001057AB" w:rsidRPr="00BA5756" w:rsidRDefault="000F721B" w:rsidP="00063872">
                  <w:pPr>
                    <w:jc w:val="center"/>
                    <w:rPr>
                      <w:b/>
                      <w:bCs/>
                    </w:rPr>
                  </w:pPr>
                  <w:r w:rsidRPr="00BA5756">
                    <w:rPr>
                      <w:b/>
                      <w:bCs/>
                    </w:rPr>
                    <w:fldChar w:fldCharType="begin"/>
                  </w:r>
                  <w:r w:rsidR="001057AB" w:rsidRPr="00BA5756">
                    <w:rPr>
                      <w:b/>
                      <w:bCs/>
                    </w:rPr>
                    <w:instrText xml:space="preserve"> =SUM(LEFT) </w:instrText>
                  </w:r>
                  <w:r w:rsidRPr="00BA5756">
                    <w:rPr>
                      <w:b/>
                      <w:bCs/>
                    </w:rPr>
                    <w:fldChar w:fldCharType="separate"/>
                  </w:r>
                  <w:r w:rsidR="001057AB" w:rsidRPr="00BA5756">
                    <w:rPr>
                      <w:b/>
                      <w:bCs/>
                      <w:noProof/>
                    </w:rPr>
                    <w:t>28 678,941</w:t>
                  </w:r>
                  <w:r w:rsidRPr="00BA5756"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:rsidR="00C5522D" w:rsidRPr="00BA5756" w:rsidRDefault="00063872" w:rsidP="00CB4C0A">
            <w:pPr>
              <w:shd w:val="clear" w:color="auto" w:fill="FFFFFF"/>
              <w:ind w:firstLine="535"/>
              <w:jc w:val="both"/>
              <w:rPr>
                <w:sz w:val="28"/>
                <w:szCs w:val="27"/>
              </w:rPr>
            </w:pPr>
            <w:r w:rsidRPr="00BA5756">
              <w:rPr>
                <w:sz w:val="28"/>
                <w:szCs w:val="27"/>
              </w:rPr>
              <w:t>1.</w:t>
            </w:r>
            <w:r w:rsidR="00AD3082" w:rsidRPr="00BA5756">
              <w:rPr>
                <w:sz w:val="28"/>
                <w:szCs w:val="27"/>
              </w:rPr>
              <w:t>6</w:t>
            </w:r>
            <w:r w:rsidRPr="00BA5756">
              <w:rPr>
                <w:sz w:val="28"/>
                <w:szCs w:val="27"/>
              </w:rPr>
              <w:t>.</w:t>
            </w:r>
            <w:r w:rsidR="00872906" w:rsidRPr="00BA5756">
              <w:rPr>
                <w:sz w:val="28"/>
                <w:szCs w:val="28"/>
              </w:rPr>
              <w:t xml:space="preserve"> </w:t>
            </w:r>
            <w:r w:rsidR="001057AB" w:rsidRPr="00BA5756">
              <w:rPr>
                <w:sz w:val="28"/>
                <w:szCs w:val="28"/>
              </w:rPr>
              <w:t>У р</w:t>
            </w:r>
            <w:r w:rsidR="00872906" w:rsidRPr="00BA5756">
              <w:rPr>
                <w:sz w:val="28"/>
                <w:szCs w:val="28"/>
              </w:rPr>
              <w:t>озділ</w:t>
            </w:r>
            <w:r w:rsidR="001057AB" w:rsidRPr="00BA5756">
              <w:rPr>
                <w:sz w:val="28"/>
                <w:szCs w:val="28"/>
              </w:rPr>
              <w:t>і</w:t>
            </w:r>
            <w:r w:rsidR="00872906" w:rsidRPr="00BA5756">
              <w:rPr>
                <w:sz w:val="28"/>
                <w:szCs w:val="28"/>
              </w:rPr>
              <w:t xml:space="preserve"> 8 </w:t>
            </w:r>
            <w:r w:rsidR="00313437" w:rsidRPr="00BA5756">
              <w:rPr>
                <w:sz w:val="28"/>
                <w:szCs w:val="28"/>
              </w:rPr>
              <w:t>п</w:t>
            </w:r>
            <w:r w:rsidR="001057AB" w:rsidRPr="00BA5756">
              <w:rPr>
                <w:sz w:val="28"/>
                <w:szCs w:val="28"/>
              </w:rPr>
              <w:t>оказники виконання Програми</w:t>
            </w:r>
            <w:r w:rsidR="00872906" w:rsidRPr="00BA5756">
              <w:rPr>
                <w:sz w:val="28"/>
                <w:szCs w:val="28"/>
              </w:rPr>
              <w:t xml:space="preserve"> викласти </w:t>
            </w:r>
            <w:r w:rsidR="00872906" w:rsidRPr="00BA5756">
              <w:rPr>
                <w:sz w:val="28"/>
                <w:szCs w:val="27"/>
              </w:rPr>
              <w:t>у новій редакції:</w:t>
            </w:r>
          </w:p>
          <w:p w:rsidR="00134F2B" w:rsidRPr="00BA5756" w:rsidRDefault="00313437" w:rsidP="00134F2B">
            <w:pPr>
              <w:ind w:firstLine="567"/>
              <w:jc w:val="both"/>
              <w:rPr>
                <w:sz w:val="28"/>
              </w:rPr>
            </w:pPr>
            <w:r w:rsidRPr="00BA5756">
              <w:rPr>
                <w:sz w:val="28"/>
                <w:szCs w:val="28"/>
              </w:rPr>
              <w:lastRenderedPageBreak/>
              <w:t>«</w:t>
            </w:r>
            <w:r w:rsidR="00134F2B" w:rsidRPr="00BA5756">
              <w:rPr>
                <w:sz w:val="28"/>
                <w:szCs w:val="28"/>
              </w:rPr>
              <w:t>Показники виконання Програми</w:t>
            </w:r>
            <w:r w:rsidR="00134F2B" w:rsidRPr="00BA5756">
              <w:rPr>
                <w:sz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"/>
              <w:gridCol w:w="4614"/>
              <w:gridCol w:w="917"/>
              <w:gridCol w:w="1729"/>
              <w:gridCol w:w="1176"/>
              <w:gridCol w:w="1398"/>
            </w:tblGrid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2A63A3">
                  <w:pPr>
                    <w:ind w:left="-78" w:right="-108"/>
                    <w:jc w:val="center"/>
                  </w:pPr>
                  <w:r w:rsidRPr="00BA5756">
                    <w:t>№ з</w:t>
                  </w:r>
                  <w:r w:rsidR="002A63A3" w:rsidRPr="00BA5756">
                    <w:t>/</w:t>
                  </w:r>
                  <w:r w:rsidRPr="00BA5756">
                    <w:t>п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  <w:r w:rsidRPr="00BA5756">
                    <w:t>Показники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  <w:r w:rsidRPr="00BA5756">
                    <w:t xml:space="preserve">Од. </w:t>
                  </w:r>
                </w:p>
                <w:p w:rsidR="001057AB" w:rsidRPr="00BA5756" w:rsidRDefault="001057AB" w:rsidP="0008561F">
                  <w:pPr>
                    <w:jc w:val="center"/>
                  </w:pPr>
                  <w:r w:rsidRPr="00BA5756">
                    <w:t>виміру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108" w:right="-84"/>
                    <w:jc w:val="center"/>
                  </w:pPr>
                  <w:r w:rsidRPr="00BA5756">
                    <w:t>Джерело</w:t>
                  </w:r>
                </w:p>
                <w:p w:rsidR="001057AB" w:rsidRPr="00BA5756" w:rsidRDefault="001057AB" w:rsidP="0008561F">
                  <w:pPr>
                    <w:ind w:left="-108" w:right="-84"/>
                    <w:jc w:val="center"/>
                  </w:pPr>
                  <w:r w:rsidRPr="00BA5756">
                    <w:t>інформації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108" w:right="-108"/>
                    <w:jc w:val="center"/>
                  </w:pPr>
                  <w:r w:rsidRPr="00BA5756">
                    <w:t>2019 рік</w:t>
                  </w:r>
                </w:p>
              </w:tc>
              <w:tc>
                <w:tcPr>
                  <w:tcW w:w="0" w:type="auto"/>
                </w:tcPr>
                <w:p w:rsidR="001057AB" w:rsidRPr="00BA5756" w:rsidRDefault="001057AB" w:rsidP="00555A01">
                  <w:pPr>
                    <w:jc w:val="center"/>
                  </w:pPr>
                  <w:r w:rsidRPr="00BA5756">
                    <w:t>2020 рік (</w:t>
                  </w:r>
                  <w:proofErr w:type="spellStart"/>
                  <w:r w:rsidRPr="00BA5756">
                    <w:t>про</w:t>
                  </w:r>
                  <w:r w:rsidR="00555A01" w:rsidRPr="00BA5756">
                    <w:t>є</w:t>
                  </w:r>
                  <w:r w:rsidRPr="00BA5756">
                    <w:t>кт</w:t>
                  </w:r>
                  <w:proofErr w:type="spellEnd"/>
                  <w:r w:rsidRPr="00BA5756">
                    <w:t>)</w:t>
                  </w: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78" w:right="-108"/>
                    <w:jc w:val="center"/>
                  </w:pPr>
                  <w:r w:rsidRPr="00BA5756"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EC094D" w:rsidP="00EC094D">
                  <w:r w:rsidRPr="00BA5756">
                    <w:t>затрат: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108" w:right="-84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108" w:right="-84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872906">
                  <w:pPr>
                    <w:ind w:left="-108" w:right="-108"/>
                    <w:jc w:val="center"/>
                  </w:pP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78" w:right="-108"/>
                    <w:jc w:val="center"/>
                  </w:pPr>
                  <w:r w:rsidRPr="00BA5756">
                    <w:t>1.1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ED356B" w:rsidP="001057AB">
                  <w:r w:rsidRPr="00BA5756">
                    <w:t>Обсяг фінансування на відшкодування вартості препаратів інсуліну для забезпечення хворих на цукровий діабет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  <w:r w:rsidRPr="00BA5756">
                    <w:t>грн.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3F1483" w:rsidP="0008561F">
                  <w:pPr>
                    <w:tabs>
                      <w:tab w:val="left" w:pos="720"/>
                    </w:tabs>
                    <w:jc w:val="center"/>
                  </w:pPr>
                  <w:r w:rsidRPr="00BA5756">
                    <w:t>міський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C634F1">
                  <w:pPr>
                    <w:jc w:val="center"/>
                  </w:pPr>
                  <w:r w:rsidRPr="00BA5756">
                    <w:t>13921816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057AB" w:rsidRPr="00BA5756" w:rsidRDefault="001057AB" w:rsidP="003F1483">
                  <w:pPr>
                    <w:jc w:val="center"/>
                    <w:rPr>
                      <w:bCs/>
                    </w:rPr>
                  </w:pPr>
                  <w:r w:rsidRPr="00BA5756">
                    <w:rPr>
                      <w:bCs/>
                    </w:rPr>
                    <w:t>14757125</w:t>
                  </w: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left="-78" w:right="-108"/>
                    <w:jc w:val="center"/>
                  </w:pPr>
                  <w:r w:rsidRPr="00BA5756">
                    <w:t>2.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ED7E3D" w:rsidP="00EC094D">
                  <w:r w:rsidRPr="00BA5756">
                    <w:t>продукту: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577D14">
                  <w:pPr>
                    <w:jc w:val="center"/>
                  </w:pP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ind w:right="-144"/>
                    <w:jc w:val="center"/>
                  </w:pPr>
                  <w:r w:rsidRPr="00BA5756">
                    <w:t>2.1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r w:rsidRPr="00BA5756">
                    <w:t>Кількість хворих на цукровий діабет, що потребують забезпечення препаратами інсуліну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осіб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статистична звітність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jc w:val="center"/>
                  </w:pPr>
                  <w:r w:rsidRPr="00BA5756">
                    <w:t>2146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872906">
                  <w:pPr>
                    <w:jc w:val="center"/>
                  </w:pPr>
                  <w:r w:rsidRPr="00BA5756">
                    <w:t>2154</w:t>
                  </w: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ind w:right="-144"/>
                    <w:jc w:val="center"/>
                  </w:pPr>
                  <w:r w:rsidRPr="00BA5756">
                    <w:t>2.2.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r w:rsidRPr="00BA5756">
                    <w:t>Кількість хворих на цукровий діабет, що забезпечуються препаратами інсуліну за програмою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осіб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статистична звітність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jc w:val="center"/>
                  </w:pPr>
                  <w:r w:rsidRPr="00BA5756">
                    <w:t>2146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123FE1">
                  <w:pPr>
                    <w:jc w:val="center"/>
                  </w:pPr>
                  <w:r w:rsidRPr="00BA5756">
                    <w:t>2154</w:t>
                  </w: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right="-144"/>
                    <w:jc w:val="center"/>
                  </w:pPr>
                  <w:r w:rsidRPr="00BA5756">
                    <w:t>3.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ED7E3D" w:rsidP="00EC094D">
                  <w:r w:rsidRPr="00BA5756">
                    <w:t>е</w:t>
                  </w:r>
                  <w:r w:rsidR="001057AB" w:rsidRPr="00BA5756">
                    <w:t>фективності</w:t>
                  </w:r>
                  <w:r w:rsidRPr="00BA5756"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872906">
                  <w:pPr>
                    <w:jc w:val="center"/>
                  </w:pP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ind w:right="-144"/>
                    <w:jc w:val="center"/>
                  </w:pPr>
                  <w:r w:rsidRPr="00BA5756">
                    <w:t>3.1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r w:rsidRPr="00BA5756">
                    <w:t>Середні видатки на одну особу, що потребує препаратів інсуліну, вартість яких підлягає відшкодуванню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грн.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розрахунок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jc w:val="center"/>
                  </w:pPr>
                  <w:r w:rsidRPr="00BA5756">
                    <w:t>6487,33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DF420D">
                  <w:pPr>
                    <w:jc w:val="center"/>
                  </w:pPr>
                  <w:r w:rsidRPr="00BA5756">
                    <w:t>6851,03</w:t>
                  </w:r>
                </w:p>
              </w:tc>
            </w:tr>
            <w:tr w:rsidR="00B124E0" w:rsidRPr="00BA5756" w:rsidTr="002A63A3"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ind w:right="-144"/>
                    <w:jc w:val="center"/>
                  </w:pPr>
                  <w:r w:rsidRPr="00BA5756"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ED7E3D" w:rsidP="00EC094D">
                  <w:r w:rsidRPr="00BA5756">
                    <w:t>я</w:t>
                  </w:r>
                  <w:r w:rsidR="001057AB" w:rsidRPr="00BA5756">
                    <w:t>кості</w:t>
                  </w:r>
                  <w:r w:rsidRPr="00BA5756"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08561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1057AB" w:rsidRPr="00BA5756" w:rsidRDefault="001057AB" w:rsidP="00DF420D">
                  <w:pPr>
                    <w:jc w:val="center"/>
                  </w:pPr>
                </w:p>
              </w:tc>
            </w:tr>
            <w:tr w:rsidR="00C634F1" w:rsidRPr="00BA5756" w:rsidTr="002A63A3"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ind w:right="-144"/>
                    <w:jc w:val="center"/>
                  </w:pPr>
                  <w:r w:rsidRPr="00BA5756">
                    <w:t>4.1.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r w:rsidRPr="00BA5756">
                    <w:t>Забезпеченість хворих препаратами інсуліну за програмою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розрахунок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jc w:val="center"/>
                  </w:pPr>
                  <w:r w:rsidRPr="00BA5756">
                    <w:t>100,0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DF420D">
                  <w:pPr>
                    <w:jc w:val="center"/>
                  </w:pPr>
                  <w:r w:rsidRPr="00BA5756">
                    <w:t>100,0</w:t>
                  </w:r>
                </w:p>
              </w:tc>
            </w:tr>
            <w:tr w:rsidR="00C634F1" w:rsidRPr="00BA5756" w:rsidTr="002A63A3"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ind w:right="-144"/>
                    <w:jc w:val="center"/>
                  </w:pPr>
                  <w:r w:rsidRPr="00BA5756">
                    <w:t>4.2.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r w:rsidRPr="00BA5756">
                    <w:t>Динаміка кількості хворих на цукровий діабет, що забезпечуються препаратами інсуліну за програмою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>
                  <w:pPr>
                    <w:jc w:val="center"/>
                    <w:rPr>
                      <w:iCs/>
                    </w:rPr>
                  </w:pPr>
                  <w:r w:rsidRPr="00BA5756">
                    <w:rPr>
                      <w:iCs/>
                    </w:rPr>
                    <w:t>розрахунок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08561F">
                  <w:pPr>
                    <w:jc w:val="center"/>
                  </w:pPr>
                  <w:r w:rsidRPr="00BA5756">
                    <w:t>3,8</w:t>
                  </w:r>
                </w:p>
              </w:tc>
              <w:tc>
                <w:tcPr>
                  <w:tcW w:w="0" w:type="auto"/>
                  <w:vAlign w:val="center"/>
                </w:tcPr>
                <w:p w:rsidR="000F51C5" w:rsidRPr="00BA5756" w:rsidRDefault="000F51C5" w:rsidP="00DF420D">
                  <w:pPr>
                    <w:jc w:val="center"/>
                  </w:pPr>
                  <w:r w:rsidRPr="00BA5756">
                    <w:t>0,4</w:t>
                  </w:r>
                </w:p>
              </w:tc>
            </w:tr>
          </w:tbl>
          <w:p w:rsidR="00C5522D" w:rsidRPr="00BA5756" w:rsidRDefault="00872906" w:rsidP="00116EA8">
            <w:pPr>
              <w:ind w:firstLine="607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Фінансове забезпечення здійснюється у межах видатків, затверджених рішенням міської ради про міський бюджет на відповідний рік.</w:t>
            </w:r>
            <w:r w:rsidR="00116EA8" w:rsidRPr="00BA5756">
              <w:rPr>
                <w:sz w:val="28"/>
                <w:szCs w:val="28"/>
              </w:rPr>
              <w:t xml:space="preserve"> </w:t>
            </w:r>
            <w:r w:rsidR="007C19B5" w:rsidRPr="00BA5756">
              <w:rPr>
                <w:sz w:val="28"/>
                <w:szCs w:val="28"/>
                <w:shd w:val="clear" w:color="auto" w:fill="FFFFFF"/>
              </w:rPr>
              <w:t xml:space="preserve">Обсяги фінансування та інші показники Програми можуть </w:t>
            </w:r>
            <w:r w:rsidR="00116EA8" w:rsidRPr="00BA5756">
              <w:rPr>
                <w:sz w:val="28"/>
                <w:szCs w:val="28"/>
                <w:shd w:val="clear" w:color="auto" w:fill="FFFFFF"/>
              </w:rPr>
              <w:t>уточнюватись</w:t>
            </w:r>
            <w:r w:rsidR="007C19B5" w:rsidRPr="00BA5756">
              <w:rPr>
                <w:sz w:val="28"/>
                <w:szCs w:val="28"/>
                <w:shd w:val="clear" w:color="auto" w:fill="FFFFFF"/>
              </w:rPr>
              <w:t xml:space="preserve"> в межах бюджетного періоду </w:t>
            </w:r>
            <w:r w:rsidRPr="00BA5756">
              <w:rPr>
                <w:sz w:val="28"/>
                <w:szCs w:val="28"/>
              </w:rPr>
              <w:t>у процесі виконання із відповідним відображенням у паспорті Програми</w:t>
            </w:r>
            <w:r w:rsidR="008F3952" w:rsidRPr="00BA5756">
              <w:rPr>
                <w:sz w:val="28"/>
                <w:szCs w:val="28"/>
              </w:rPr>
              <w:t xml:space="preserve"> </w:t>
            </w:r>
            <w:r w:rsidR="007C19B5" w:rsidRPr="00BA5756">
              <w:rPr>
                <w:sz w:val="28"/>
                <w:szCs w:val="28"/>
                <w:shd w:val="clear" w:color="auto" w:fill="FFFFFF"/>
              </w:rPr>
              <w:t>без внесення змін до даної Програми.</w:t>
            </w:r>
            <w:r w:rsidRPr="00BA5756">
              <w:rPr>
                <w:sz w:val="28"/>
                <w:szCs w:val="28"/>
              </w:rPr>
              <w:t>».</w:t>
            </w:r>
          </w:p>
          <w:p w:rsidR="00A22D85" w:rsidRPr="00BA5756" w:rsidRDefault="00A22D85" w:rsidP="00CB4C0A">
            <w:pPr>
              <w:ind w:firstLine="535"/>
              <w:jc w:val="both"/>
            </w:pPr>
            <w:r w:rsidRPr="00BA5756">
              <w:rPr>
                <w:sz w:val="28"/>
                <w:szCs w:val="28"/>
              </w:rPr>
              <w:t xml:space="preserve">2. Контроль за виконанням рішення покласти на заступника міського голови з питань діяльності виконавчих </w:t>
            </w:r>
            <w:r w:rsidR="00554411" w:rsidRPr="00BA5756">
              <w:rPr>
                <w:sz w:val="28"/>
                <w:szCs w:val="28"/>
              </w:rPr>
              <w:t>органів ради</w:t>
            </w:r>
            <w:r w:rsidR="000A4ED8" w:rsidRPr="00BA5756">
              <w:rPr>
                <w:sz w:val="28"/>
                <w:szCs w:val="28"/>
              </w:rPr>
              <w:t xml:space="preserve"> </w:t>
            </w:r>
            <w:r w:rsidR="005F0DC6" w:rsidRPr="00BA5756">
              <w:rPr>
                <w:sz w:val="28"/>
                <w:szCs w:val="28"/>
              </w:rPr>
              <w:t>Волошина І.В.</w:t>
            </w:r>
            <w:r w:rsidRPr="00BA5756">
              <w:rPr>
                <w:sz w:val="28"/>
                <w:szCs w:val="28"/>
              </w:rPr>
              <w:t xml:space="preserve"> та постійну комісію міської ради з питань охорони здоров’я, материнства, дитинства, сім’ї, соціального захисту, освіти, науки, культури, фізкультури та спорту.</w:t>
            </w:r>
          </w:p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1143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89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4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44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</w:tr>
      <w:tr w:rsidR="00A22D85" w:rsidRPr="00BA5756" w:rsidTr="00777D7A">
        <w:trPr>
          <w:jc w:val="center"/>
        </w:trPr>
        <w:tc>
          <w:tcPr>
            <w:tcW w:w="3280" w:type="dxa"/>
            <w:gridSpan w:val="3"/>
            <w:shd w:val="clear" w:color="auto" w:fill="auto"/>
            <w:noWrap/>
            <w:vAlign w:val="center"/>
          </w:tcPr>
          <w:p w:rsidR="00A22D85" w:rsidRPr="00BA5756" w:rsidRDefault="00A22D85" w:rsidP="00751692">
            <w:r w:rsidRPr="00BA5756">
              <w:rPr>
                <w:sz w:val="28"/>
              </w:rPr>
              <w:t>Міський голова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631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78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1178" w:type="dxa"/>
            <w:shd w:val="clear" w:color="auto" w:fill="auto"/>
            <w:noWrap/>
            <w:vAlign w:val="center"/>
          </w:tcPr>
          <w:p w:rsidR="00A22D85" w:rsidRPr="00BA5756" w:rsidRDefault="00A22D85" w:rsidP="00751692"/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22D85" w:rsidRPr="00BA5756" w:rsidRDefault="00A22D85" w:rsidP="00751692">
            <w:pPr>
              <w:jc w:val="right"/>
            </w:pPr>
            <w:r w:rsidRPr="00BA5756">
              <w:rPr>
                <w:sz w:val="28"/>
              </w:rPr>
              <w:t>А.В. Бондаренко</w:t>
            </w:r>
          </w:p>
        </w:tc>
      </w:tr>
    </w:tbl>
    <w:p w:rsidR="00625FF2" w:rsidRPr="00BA5756" w:rsidRDefault="00625FF2" w:rsidP="00180A2D">
      <w:pPr>
        <w:jc w:val="both"/>
        <w:outlineLvl w:val="0"/>
        <w:rPr>
          <w:sz w:val="28"/>
          <w:szCs w:val="28"/>
        </w:rPr>
        <w:sectPr w:rsidR="00625FF2" w:rsidRPr="00BA5756" w:rsidSect="00955D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5"/>
        <w:gridCol w:w="825"/>
        <w:gridCol w:w="1476"/>
        <w:gridCol w:w="1207"/>
        <w:gridCol w:w="1407"/>
        <w:gridCol w:w="1937"/>
      </w:tblGrid>
      <w:tr w:rsidR="00955DDC" w:rsidRPr="00BA5756" w:rsidTr="00955DDC">
        <w:tc>
          <w:tcPr>
            <w:tcW w:w="5000" w:type="pct"/>
            <w:gridSpan w:val="6"/>
            <w:noWrap/>
          </w:tcPr>
          <w:p w:rsidR="00955DDC" w:rsidRPr="00BA5756" w:rsidRDefault="00595D31" w:rsidP="00A66490">
            <w:pPr>
              <w:tabs>
                <w:tab w:val="left" w:pos="4095"/>
                <w:tab w:val="left" w:pos="4473"/>
              </w:tabs>
              <w:jc w:val="center"/>
              <w:rPr>
                <w:sz w:val="20"/>
                <w:szCs w:val="20"/>
              </w:rPr>
            </w:pPr>
            <w:r>
              <w:rPr>
                <w:spacing w:val="8"/>
              </w:rPr>
              <w:lastRenderedPageBreak/>
              <w:pict>
                <v:shape id="_x0000_i1026" type="#_x0000_t75" style="width:43.5pt;height:42.75pt">
                  <v:imagedata r:id="rId12" o:title=""/>
                </v:shape>
              </w:pict>
            </w:r>
          </w:p>
          <w:p w:rsidR="00955DDC" w:rsidRPr="00BA5756" w:rsidRDefault="00955DDC" w:rsidP="00955DDC">
            <w:pPr>
              <w:jc w:val="center"/>
              <w:rPr>
                <w:sz w:val="28"/>
                <w:szCs w:val="20"/>
              </w:rPr>
            </w:pPr>
            <w:r w:rsidRPr="00BA5756">
              <w:rPr>
                <w:sz w:val="28"/>
                <w:szCs w:val="20"/>
              </w:rPr>
              <w:t>УКРАЇНА</w:t>
            </w:r>
          </w:p>
          <w:p w:rsidR="00955DDC" w:rsidRPr="00BA5756" w:rsidRDefault="00955DDC" w:rsidP="00955DD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00"/>
              <w:jc w:val="center"/>
              <w:outlineLvl w:val="0"/>
              <w:rPr>
                <w:sz w:val="32"/>
                <w:lang w:eastAsia="en-US"/>
              </w:rPr>
            </w:pPr>
            <w:r w:rsidRPr="00BA5756">
              <w:rPr>
                <w:sz w:val="32"/>
                <w:szCs w:val="22"/>
                <w:lang w:eastAsia="en-US"/>
              </w:rPr>
              <w:t>Черкаська міська рада</w:t>
            </w:r>
          </w:p>
          <w:p w:rsidR="00955DDC" w:rsidRPr="00BA5756" w:rsidRDefault="00955DDC" w:rsidP="00955DDC">
            <w:pPr>
              <w:jc w:val="center"/>
              <w:rPr>
                <w:b/>
                <w:sz w:val="32"/>
                <w:szCs w:val="20"/>
              </w:rPr>
            </w:pPr>
            <w:r w:rsidRPr="00BA5756">
              <w:rPr>
                <w:b/>
                <w:sz w:val="32"/>
                <w:szCs w:val="20"/>
              </w:rPr>
              <w:t>Департамент охорони здоров’я та медичних послуг</w:t>
            </w:r>
          </w:p>
          <w:p w:rsidR="00955DDC" w:rsidRPr="00BA5756" w:rsidRDefault="00955DDC" w:rsidP="00955DDC">
            <w:pPr>
              <w:jc w:val="center"/>
            </w:pPr>
            <w:r w:rsidRPr="00BA5756">
              <w:t xml:space="preserve">вул. Байди Вишневецького, </w:t>
            </w:r>
            <w:smartTag w:uri="urn:schemas-microsoft-com:office:smarttags" w:element="metricconverter">
              <w:smartTagPr>
                <w:attr w:name="ProductID" w:val="36, м"/>
              </w:smartTagPr>
              <w:r w:rsidRPr="00BA5756">
                <w:t>36, м</w:t>
              </w:r>
            </w:smartTag>
            <w:r w:rsidRPr="00BA5756">
              <w:t xml:space="preserve">.Черкаси, 18000,  тел: (0472) 37-24-56, </w:t>
            </w:r>
            <w:r w:rsidRPr="00BA5756">
              <w:rPr>
                <w:lang w:val="en-US"/>
              </w:rPr>
              <w:t>fax</w:t>
            </w:r>
            <w:r w:rsidRPr="00BA5756">
              <w:t>:(0472) 33-79-47</w:t>
            </w:r>
          </w:p>
          <w:p w:rsidR="00955DDC" w:rsidRPr="00BA5756" w:rsidRDefault="00955DDC" w:rsidP="00955DDC">
            <w:pPr>
              <w:jc w:val="center"/>
              <w:rPr>
                <w:sz w:val="26"/>
                <w:szCs w:val="20"/>
                <w:lang w:val="en-US"/>
              </w:rPr>
            </w:pPr>
            <w:r w:rsidRPr="00BA5756">
              <w:rPr>
                <w:lang w:val="en-US"/>
              </w:rPr>
              <w:t>E</w:t>
            </w:r>
            <w:r w:rsidRPr="00BA5756">
              <w:t>-</w:t>
            </w:r>
            <w:r w:rsidRPr="00BA5756">
              <w:rPr>
                <w:lang w:val="en-US"/>
              </w:rPr>
              <w:t>mail</w:t>
            </w:r>
            <w:r w:rsidRPr="00BA5756">
              <w:t>: dozmpchmr@gmail.com, код  ЄДРПОУ  02013260</w:t>
            </w:r>
          </w:p>
          <w:p w:rsidR="00955DDC" w:rsidRPr="00BA5756" w:rsidRDefault="00955DDC" w:rsidP="00A66490">
            <w:pPr>
              <w:rPr>
                <w:szCs w:val="28"/>
                <w:lang w:val="en-US"/>
              </w:rPr>
            </w:pPr>
          </w:p>
          <w:p w:rsidR="00955DDC" w:rsidRPr="00BA5756" w:rsidRDefault="00955DDC" w:rsidP="00A66490">
            <w:pPr>
              <w:jc w:val="center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Пояснювальна записка</w:t>
            </w:r>
          </w:p>
          <w:p w:rsidR="00955DDC" w:rsidRPr="00BA5756" w:rsidRDefault="00955DDC" w:rsidP="00A66490">
            <w:pPr>
              <w:jc w:val="center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до </w:t>
            </w:r>
            <w:proofErr w:type="spellStart"/>
            <w:r w:rsidRPr="00BA5756">
              <w:rPr>
                <w:sz w:val="28"/>
                <w:szCs w:val="28"/>
              </w:rPr>
              <w:t>про</w:t>
            </w:r>
            <w:r w:rsidR="00555A01" w:rsidRPr="00BA5756">
              <w:rPr>
                <w:sz w:val="28"/>
                <w:szCs w:val="28"/>
              </w:rPr>
              <w:t>є</w:t>
            </w:r>
            <w:r w:rsidRPr="00BA5756">
              <w:rPr>
                <w:sz w:val="28"/>
                <w:szCs w:val="28"/>
              </w:rPr>
              <w:t>кту</w:t>
            </w:r>
            <w:proofErr w:type="spellEnd"/>
            <w:r w:rsidRPr="00BA5756">
              <w:rPr>
                <w:sz w:val="28"/>
                <w:szCs w:val="28"/>
              </w:rPr>
              <w:t xml:space="preserve"> рішення Черкаської міської ради</w:t>
            </w:r>
          </w:p>
          <w:p w:rsidR="00955DDC" w:rsidRPr="00BA5756" w:rsidRDefault="00955DDC" w:rsidP="00A66490">
            <w:pPr>
              <w:jc w:val="center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«</w:t>
            </w:r>
            <w:r w:rsidR="00B124E0" w:rsidRPr="00BA5756">
              <w:rPr>
                <w:b/>
                <w:sz w:val="28"/>
                <w:szCs w:val="28"/>
              </w:rPr>
              <w:t xml:space="preserve">Про внесення змін до рішення міської ради від </w:t>
            </w:r>
            <w:r w:rsidR="00B124E0" w:rsidRPr="00BA5756">
              <w:rPr>
                <w:b/>
                <w:bCs/>
                <w:sz w:val="28"/>
                <w:szCs w:val="28"/>
                <w:lang w:eastAsia="ru-RU"/>
              </w:rPr>
              <w:t>15.10.2019 № 2-5345</w:t>
            </w:r>
            <w:r w:rsidR="00B124E0" w:rsidRPr="00BA5756">
              <w:rPr>
                <w:b/>
                <w:sz w:val="28"/>
                <w:szCs w:val="28"/>
              </w:rPr>
              <w:t xml:space="preserve"> «</w:t>
            </w:r>
            <w:r w:rsidR="00B124E0" w:rsidRPr="00BA5756">
              <w:rPr>
                <w:b/>
                <w:bCs/>
                <w:sz w:val="28"/>
                <w:szCs w:val="28"/>
                <w:lang w:eastAsia="ru-RU"/>
              </w:rPr>
              <w:t>Про затвердження міської програми забезпечення препаратами інсуліну хворих на цукровий діабет на 2019 рік</w:t>
            </w:r>
            <w:r w:rsidR="00316129" w:rsidRPr="00BA5756">
              <w:rPr>
                <w:b/>
                <w:sz w:val="28"/>
                <w:szCs w:val="28"/>
              </w:rPr>
              <w:t>»</w:t>
            </w:r>
            <w:r w:rsidRPr="00BA5756">
              <w:rPr>
                <w:b/>
                <w:sz w:val="28"/>
                <w:szCs w:val="20"/>
              </w:rPr>
              <w:t>»</w:t>
            </w:r>
          </w:p>
          <w:p w:rsidR="00955DDC" w:rsidRPr="00BA5756" w:rsidRDefault="00955DDC" w:rsidP="00A66490">
            <w:pPr>
              <w:ind w:firstLine="540"/>
              <w:jc w:val="both"/>
              <w:rPr>
                <w:szCs w:val="28"/>
              </w:rPr>
            </w:pPr>
          </w:p>
          <w:p w:rsidR="00F93BCF" w:rsidRPr="00BA5756" w:rsidRDefault="00F93BCF" w:rsidP="00CF17F1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Відповідно до постанов КМУ від 05.03.2014 № 73 «Питання реалізації пілотного проекту щодо запровадження державного регулювання цін на препарати інсуліну», від 23.03.2016 №239 «Деякі питання відшкодування вартості препаратів інсуліну», р</w:t>
            </w:r>
            <w:r w:rsidRPr="00BA5756">
              <w:rPr>
                <w:rFonts w:eastAsia="Calibri"/>
                <w:bCs/>
                <w:sz w:val="28"/>
                <w:szCs w:val="28"/>
              </w:rPr>
              <w:t>озпорядження голови Черкаської ОДА від 29.09.2017 №559 «Про реалізацію в Черкаській області пілотного проекту щодо запровадження державного регулювання цін на препарати інсуліну» з 2017 року розпочато відшкодування вартості препаратів інсуліну пацієнтам, хворим на цукровий діабет.</w:t>
            </w:r>
          </w:p>
          <w:p w:rsidR="00F93BCF" w:rsidRPr="00BA5756" w:rsidRDefault="00F93BCF" w:rsidP="00CF17F1">
            <w:pPr>
              <w:ind w:firstLine="540"/>
              <w:jc w:val="both"/>
              <w:rPr>
                <w:sz w:val="28"/>
                <w:szCs w:val="28"/>
              </w:rPr>
            </w:pPr>
            <w:r w:rsidRPr="00BA5756">
              <w:rPr>
                <w:rFonts w:eastAsia="Calibri"/>
                <w:bCs/>
                <w:sz w:val="28"/>
                <w:szCs w:val="28"/>
              </w:rPr>
              <w:t xml:space="preserve">Відповідно до п.2.4. постанови КМУ від 05.03.2014 №73 </w:t>
            </w:r>
            <w:r w:rsidRPr="00BA5756">
              <w:rPr>
                <w:sz w:val="28"/>
                <w:szCs w:val="28"/>
              </w:rPr>
              <w:t>«Питання реалізації пілотного проекту щодо запровадження державного регулювання цін на препарати інсуліну» витрати, пов’язані з відпуском препаратів інсуліну, здійснюються за рахунок цільових коштів місцевих бюджетів на пільгове забезпечення такими препаратами осіб, хворих на діабет.</w:t>
            </w:r>
          </w:p>
          <w:p w:rsidR="00F93BCF" w:rsidRPr="00BA5756" w:rsidRDefault="00F93BCF" w:rsidP="00CF17F1">
            <w:pPr>
              <w:ind w:firstLine="540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Щороку видатки на забезпечення хворих на цукровий діабет препаратами інсуліну зростають і виділених коштів систематично не вистачає для забезпечення повної потреби. </w:t>
            </w:r>
            <w:r w:rsidR="0096531E" w:rsidRPr="00BA5756">
              <w:rPr>
                <w:sz w:val="28"/>
                <w:szCs w:val="28"/>
              </w:rPr>
              <w:t>Водночас, Міністерство охорони здоров’я України та Черкаська обласна державна адміністрація (листи №643/01/01-57 від 13.01.2020 року, №2943/02/12-01-15 від 18.02.2020 року)</w:t>
            </w:r>
            <w:r w:rsidR="00147347" w:rsidRPr="00BA5756">
              <w:rPr>
                <w:sz w:val="28"/>
                <w:szCs w:val="28"/>
              </w:rPr>
              <w:t xml:space="preserve"> наголошують на тому, що зміна моделі фінансового забезпечення місцевих бюджетів створила умови для позитивної динаміки надходжень до таких бюджетів; зростання дохідної частини місцевих бюджетів в умовах повної бюджетної самостійності передбачає підвищення ролі та відповідальності місцевих органів влади за ефективне управління ресурсами місцевих бюджетів. Таким чином, </w:t>
            </w:r>
            <w:r w:rsidR="00EF1B12" w:rsidRPr="00BA5756">
              <w:rPr>
                <w:sz w:val="28"/>
                <w:szCs w:val="28"/>
              </w:rPr>
              <w:t xml:space="preserve">Міністерство охорони здоров’я України вважає, що </w:t>
            </w:r>
            <w:r w:rsidR="00147347" w:rsidRPr="00BA5756">
              <w:rPr>
                <w:sz w:val="28"/>
                <w:szCs w:val="28"/>
              </w:rPr>
              <w:t>порушене питання має вирішуватись за рахунок коштів місцевих бюджетів.</w:t>
            </w:r>
          </w:p>
          <w:p w:rsidR="00EB7B36" w:rsidRPr="00BA5756" w:rsidRDefault="00EB7B36" w:rsidP="00CF17F1">
            <w:pPr>
              <w:ind w:firstLine="540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Відповідно до постанови КМУ від 05.02.2020 року </w:t>
            </w:r>
            <w:hyperlink r:id="rId13" w:tgtFrame="_blank" w:history="1">
              <w:r w:rsidRPr="00BA5756">
                <w:rPr>
                  <w:rStyle w:val="a7"/>
                  <w:color w:val="auto"/>
                  <w:sz w:val="28"/>
                  <w:szCs w:val="28"/>
                  <w:u w:val="none"/>
                </w:rPr>
                <w:t>№65</w:t>
              </w:r>
            </w:hyperlink>
            <w:r w:rsidRPr="00BA5756">
              <w:rPr>
                <w:sz w:val="28"/>
                <w:szCs w:val="28"/>
              </w:rPr>
              <w:t xml:space="preserve"> «Деякі питання реалізації програми державних гарантій медичного обслуговування населення у 2020 році», внесено зміни до постанови від 27.11.2019 року №1119 «Деякі питання реалізації державних фінансових гарантій медичного обслуговування населення за програмою медичних гарантій на 2020 рік», що передбачають відшкодування вартості інсулінів в рамках програми медичних гарантій</w:t>
            </w:r>
            <w:r w:rsidRPr="00BA5756">
              <w:rPr>
                <w:rStyle w:val="a6"/>
                <w:sz w:val="28"/>
                <w:szCs w:val="28"/>
              </w:rPr>
              <w:t xml:space="preserve"> </w:t>
            </w:r>
            <w:r w:rsidRPr="00BA5756">
              <w:rPr>
                <w:sz w:val="28"/>
                <w:szCs w:val="28"/>
              </w:rPr>
              <w:t xml:space="preserve">з 1 жовтня до 31 грудня 2020 року. При цьому відшкодування вартості інсулінів за рахунок медичної субвенції здійснюватиметься лише до 1 квітня 2020 року, оскільки відповідно до Прикінцевих положень Бюджетного кодексу </w:t>
            </w:r>
            <w:r w:rsidRPr="00BA5756">
              <w:rPr>
                <w:sz w:val="28"/>
                <w:szCs w:val="28"/>
              </w:rPr>
              <w:lastRenderedPageBreak/>
              <w:t xml:space="preserve">України до 01.04.2020 діє </w:t>
            </w:r>
            <w:hyperlink r:id="rId14" w:anchor="w1135" w:tgtFrame="_blank" w:history="1">
              <w:r w:rsidRPr="00BA5756">
                <w:rPr>
                  <w:rStyle w:val="a7"/>
                  <w:color w:val="auto"/>
                  <w:sz w:val="28"/>
                  <w:szCs w:val="28"/>
                  <w:u w:val="none"/>
                </w:rPr>
                <w:t>стаття 103-4</w:t>
              </w:r>
            </w:hyperlink>
            <w:r w:rsidRPr="00BA5756">
              <w:rPr>
                <w:sz w:val="28"/>
                <w:szCs w:val="28"/>
              </w:rPr>
              <w:t xml:space="preserve"> «Медична субвенція». Таким чином, у період з 1 квітня до 1 жовтня 2020 року будуть відсутні механізми та підстави для відшкодування вартості таких лікарських засобів.</w:t>
            </w:r>
          </w:p>
          <w:p w:rsidR="003778A4" w:rsidRPr="00BA5756" w:rsidRDefault="003778A4" w:rsidP="00CF17F1">
            <w:pPr>
              <w:ind w:firstLine="540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Згідно з реєстром пацієнтів, що потребують </w:t>
            </w:r>
            <w:proofErr w:type="spellStart"/>
            <w:r w:rsidRPr="00BA5756">
              <w:rPr>
                <w:sz w:val="28"/>
                <w:szCs w:val="28"/>
              </w:rPr>
              <w:t>інсулінотерапії</w:t>
            </w:r>
            <w:proofErr w:type="spellEnd"/>
            <w:r w:rsidRPr="00BA5756">
              <w:rPr>
                <w:sz w:val="28"/>
                <w:szCs w:val="28"/>
              </w:rPr>
              <w:t xml:space="preserve"> (наказ Міністерства охорони здоров’я України </w:t>
            </w:r>
            <w:r w:rsidRPr="00BA5756">
              <w:rPr>
                <w:rStyle w:val="rvts9"/>
                <w:sz w:val="28"/>
                <w:szCs w:val="28"/>
              </w:rPr>
              <w:t>23.12.2015 № 890</w:t>
            </w:r>
            <w:r w:rsidRPr="00BA5756">
              <w:rPr>
                <w:sz w:val="28"/>
                <w:szCs w:val="28"/>
              </w:rPr>
              <w:t xml:space="preserve"> «</w:t>
            </w:r>
            <w:r w:rsidRPr="00BA5756">
              <w:rPr>
                <w:rStyle w:val="rvts23"/>
                <w:sz w:val="28"/>
                <w:szCs w:val="28"/>
              </w:rPr>
              <w:t xml:space="preserve">Про затвердження Положення про реєстр пацієнтів, що потребують </w:t>
            </w:r>
            <w:proofErr w:type="spellStart"/>
            <w:r w:rsidRPr="00BA5756">
              <w:rPr>
                <w:rStyle w:val="rvts23"/>
                <w:sz w:val="28"/>
                <w:szCs w:val="28"/>
              </w:rPr>
              <w:t>інсулінотерапії</w:t>
            </w:r>
            <w:proofErr w:type="spellEnd"/>
            <w:r w:rsidRPr="00BA5756">
              <w:rPr>
                <w:sz w:val="28"/>
                <w:szCs w:val="28"/>
              </w:rPr>
              <w:t xml:space="preserve">») розрахункова потреба коштів на рік становить </w:t>
            </w:r>
            <w:r w:rsidR="00C634F1" w:rsidRPr="00BA5756">
              <w:rPr>
                <w:sz w:val="28"/>
                <w:szCs w:val="28"/>
              </w:rPr>
              <w:t>18</w:t>
            </w:r>
            <w:r w:rsidR="001923CE" w:rsidRPr="00BA5756">
              <w:rPr>
                <w:sz w:val="28"/>
                <w:szCs w:val="28"/>
              </w:rPr>
              <w:t xml:space="preserve"> </w:t>
            </w:r>
            <w:r w:rsidR="00C634F1" w:rsidRPr="00BA5756">
              <w:rPr>
                <w:sz w:val="28"/>
                <w:szCs w:val="28"/>
              </w:rPr>
              <w:t>736</w:t>
            </w:r>
            <w:r w:rsidR="001923CE" w:rsidRPr="00BA5756">
              <w:rPr>
                <w:sz w:val="28"/>
                <w:szCs w:val="28"/>
              </w:rPr>
              <w:t xml:space="preserve"> </w:t>
            </w:r>
            <w:r w:rsidR="00C634F1" w:rsidRPr="00BA5756">
              <w:rPr>
                <w:sz w:val="28"/>
                <w:szCs w:val="28"/>
              </w:rPr>
              <w:t>262</w:t>
            </w:r>
            <w:r w:rsidRPr="00BA5756">
              <w:rPr>
                <w:sz w:val="28"/>
                <w:szCs w:val="28"/>
              </w:rPr>
              <w:t xml:space="preserve"> грн. </w:t>
            </w:r>
            <w:r w:rsidR="00AF19D0" w:rsidRPr="00BA5756">
              <w:rPr>
                <w:sz w:val="28"/>
                <w:szCs w:val="28"/>
              </w:rPr>
              <w:t>Уточнена р</w:t>
            </w:r>
            <w:r w:rsidRPr="00BA5756">
              <w:rPr>
                <w:sz w:val="28"/>
                <w:szCs w:val="28"/>
              </w:rPr>
              <w:t xml:space="preserve">озрахункова потреба згідно з фактичним споживанням за 2019 рік становить </w:t>
            </w:r>
            <w:r w:rsidR="00C634F1" w:rsidRPr="00BA5756">
              <w:rPr>
                <w:bCs/>
                <w:sz w:val="28"/>
                <w:szCs w:val="28"/>
              </w:rPr>
              <w:t>14</w:t>
            </w:r>
            <w:r w:rsidR="001923CE" w:rsidRPr="00BA5756">
              <w:rPr>
                <w:bCs/>
                <w:sz w:val="28"/>
                <w:szCs w:val="28"/>
              </w:rPr>
              <w:t> </w:t>
            </w:r>
            <w:r w:rsidR="00C634F1" w:rsidRPr="00BA5756">
              <w:rPr>
                <w:bCs/>
                <w:sz w:val="28"/>
                <w:szCs w:val="28"/>
              </w:rPr>
              <w:t>757</w:t>
            </w:r>
            <w:r w:rsidR="001923CE" w:rsidRPr="00BA5756">
              <w:rPr>
                <w:bCs/>
                <w:sz w:val="28"/>
                <w:szCs w:val="28"/>
              </w:rPr>
              <w:t xml:space="preserve"> </w:t>
            </w:r>
            <w:r w:rsidR="00C634F1" w:rsidRPr="00BA5756">
              <w:rPr>
                <w:bCs/>
                <w:sz w:val="28"/>
                <w:szCs w:val="28"/>
              </w:rPr>
              <w:t>125</w:t>
            </w:r>
            <w:r w:rsidRPr="00BA5756">
              <w:rPr>
                <w:sz w:val="28"/>
                <w:szCs w:val="28"/>
              </w:rPr>
              <w:t xml:space="preserve"> грн.</w:t>
            </w:r>
            <w:r w:rsidR="00DA303E" w:rsidRPr="00BA5756">
              <w:rPr>
                <w:sz w:val="28"/>
                <w:szCs w:val="28"/>
              </w:rPr>
              <w:t xml:space="preserve"> </w:t>
            </w:r>
            <w:r w:rsidR="00DA303E" w:rsidRPr="00BA5756">
              <w:rPr>
                <w:bCs/>
                <w:sz w:val="28"/>
                <w:szCs w:val="28"/>
                <w:lang w:eastAsia="ru-RU"/>
              </w:rPr>
              <w:t>Затверджено на І квартал 2020 року з урахуванням змін</w:t>
            </w:r>
            <w:r w:rsidR="00DA303E" w:rsidRPr="00BA5756">
              <w:rPr>
                <w:sz w:val="28"/>
                <w:szCs w:val="28"/>
              </w:rPr>
              <w:t xml:space="preserve"> </w:t>
            </w:r>
            <w:r w:rsidR="00DA303E" w:rsidRPr="00BA5756">
              <w:rPr>
                <w:bCs/>
                <w:sz w:val="28"/>
                <w:szCs w:val="28"/>
                <w:lang w:eastAsia="ru-RU"/>
              </w:rPr>
              <w:t>2 204 964,24</w:t>
            </w:r>
            <w:r w:rsidR="001923CE" w:rsidRPr="00BA5756">
              <w:rPr>
                <w:sz w:val="28"/>
                <w:szCs w:val="28"/>
              </w:rPr>
              <w:t xml:space="preserve"> грн., що </w:t>
            </w:r>
            <w:r w:rsidR="00DA303E" w:rsidRPr="00BA5756">
              <w:rPr>
                <w:sz w:val="28"/>
                <w:szCs w:val="28"/>
              </w:rPr>
              <w:t xml:space="preserve">становить </w:t>
            </w:r>
            <w:r w:rsidR="001923CE" w:rsidRPr="00BA5756">
              <w:rPr>
                <w:sz w:val="28"/>
                <w:szCs w:val="28"/>
              </w:rPr>
              <w:t>14,9</w:t>
            </w:r>
            <w:r w:rsidR="00DA303E" w:rsidRPr="00BA5756">
              <w:rPr>
                <w:sz w:val="28"/>
                <w:szCs w:val="28"/>
              </w:rPr>
              <w:t xml:space="preserve">% від </w:t>
            </w:r>
            <w:r w:rsidR="0035780F" w:rsidRPr="00BA5756">
              <w:rPr>
                <w:sz w:val="28"/>
                <w:szCs w:val="28"/>
              </w:rPr>
              <w:t xml:space="preserve">річної </w:t>
            </w:r>
            <w:r w:rsidR="00DA303E" w:rsidRPr="00BA5756">
              <w:rPr>
                <w:sz w:val="28"/>
                <w:szCs w:val="28"/>
              </w:rPr>
              <w:t xml:space="preserve">потреби. Потенційні витрати міського бюджету на відшкодування вартості препаратів інсуліну хворим на цукровий діабет додатково до </w:t>
            </w:r>
            <w:r w:rsidR="001923CE" w:rsidRPr="00BA5756">
              <w:rPr>
                <w:sz w:val="28"/>
                <w:szCs w:val="28"/>
              </w:rPr>
              <w:t>кінця року</w:t>
            </w:r>
            <w:r w:rsidR="00DA303E" w:rsidRPr="00BA5756">
              <w:rPr>
                <w:sz w:val="28"/>
                <w:szCs w:val="28"/>
              </w:rPr>
              <w:t xml:space="preserve"> становлять </w:t>
            </w:r>
            <w:r w:rsidR="001923CE" w:rsidRPr="00BA5756">
              <w:rPr>
                <w:bCs/>
                <w:sz w:val="28"/>
                <w:szCs w:val="28"/>
                <w:lang w:eastAsia="ru-RU"/>
              </w:rPr>
              <w:t>12 552 160,76</w:t>
            </w:r>
            <w:r w:rsidR="00DA303E" w:rsidRPr="00BA5756">
              <w:rPr>
                <w:sz w:val="28"/>
                <w:szCs w:val="28"/>
              </w:rPr>
              <w:t xml:space="preserve"> грн.</w:t>
            </w:r>
          </w:p>
          <w:p w:rsidR="00D2189C" w:rsidRPr="00BA5756" w:rsidRDefault="00F93BCF" w:rsidP="00CF17F1">
            <w:pPr>
              <w:ind w:firstLine="540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 xml:space="preserve">Враховуючи необхідність забезпечення сталого лікувального процесу, захисту життя і здоров’я пацієнтів, які потребують </w:t>
            </w:r>
            <w:proofErr w:type="spellStart"/>
            <w:r w:rsidRPr="00BA5756">
              <w:rPr>
                <w:sz w:val="28"/>
                <w:szCs w:val="28"/>
              </w:rPr>
              <w:t>інсулінотерапії</w:t>
            </w:r>
            <w:proofErr w:type="spellEnd"/>
            <w:r w:rsidRPr="00BA5756">
              <w:rPr>
                <w:sz w:val="28"/>
                <w:szCs w:val="28"/>
              </w:rPr>
              <w:t xml:space="preserve">, недопущення соціальної напруги в місті, існує необхідність додаткового </w:t>
            </w:r>
            <w:r w:rsidRPr="00BA5756">
              <w:rPr>
                <w:rFonts w:eastAsia="Calibri"/>
                <w:sz w:val="28"/>
                <w:szCs w:val="28"/>
              </w:rPr>
              <w:t xml:space="preserve">фінансового забезпечення </w:t>
            </w:r>
            <w:r w:rsidRPr="00BA5756">
              <w:rPr>
                <w:rFonts w:eastAsia="Calibri"/>
                <w:bCs/>
                <w:sz w:val="28"/>
                <w:szCs w:val="28"/>
              </w:rPr>
              <w:t>відшкодування вартості препаратів інсуліну</w:t>
            </w:r>
            <w:r w:rsidRPr="00BA5756">
              <w:rPr>
                <w:rFonts w:eastAsia="Calibri"/>
                <w:sz w:val="28"/>
                <w:szCs w:val="28"/>
              </w:rPr>
              <w:t xml:space="preserve"> до кінця 20</w:t>
            </w:r>
            <w:r w:rsidR="00E14ABE" w:rsidRPr="00BA5756">
              <w:rPr>
                <w:rFonts w:eastAsia="Calibri"/>
                <w:sz w:val="28"/>
                <w:szCs w:val="28"/>
              </w:rPr>
              <w:t>20</w:t>
            </w:r>
            <w:r w:rsidRPr="00BA5756">
              <w:rPr>
                <w:rFonts w:eastAsia="Calibri"/>
                <w:sz w:val="28"/>
                <w:szCs w:val="28"/>
              </w:rPr>
              <w:t xml:space="preserve"> року</w:t>
            </w:r>
            <w:r w:rsidRPr="00BA5756">
              <w:rPr>
                <w:sz w:val="28"/>
                <w:szCs w:val="28"/>
              </w:rPr>
              <w:t>.</w:t>
            </w:r>
            <w:r w:rsidR="00B37DD0" w:rsidRPr="00BA5756">
              <w:rPr>
                <w:sz w:val="28"/>
                <w:szCs w:val="28"/>
              </w:rPr>
              <w:t xml:space="preserve"> Д</w:t>
            </w:r>
            <w:r w:rsidR="00D2189C" w:rsidRPr="00BA5756">
              <w:rPr>
                <w:sz w:val="28"/>
                <w:szCs w:val="28"/>
              </w:rPr>
              <w:t>епартамент охорони здоров’я та медичних послуг подає на розгляд міської ради пропозицію щодо продовження дії Програми на 2020 рік.</w:t>
            </w:r>
          </w:p>
          <w:p w:rsidR="00186845" w:rsidRPr="00BA5756" w:rsidRDefault="00877CAA" w:rsidP="00CF17F1">
            <w:pPr>
              <w:ind w:left="108" w:right="103" w:firstLine="540"/>
              <w:jc w:val="both"/>
              <w:rPr>
                <w:sz w:val="28"/>
                <w:szCs w:val="28"/>
              </w:rPr>
            </w:pPr>
            <w:proofErr w:type="spellStart"/>
            <w:r w:rsidRPr="00BA5756">
              <w:rPr>
                <w:sz w:val="28"/>
                <w:szCs w:val="28"/>
              </w:rPr>
              <w:t>Про</w:t>
            </w:r>
            <w:r w:rsidR="00555A01" w:rsidRPr="00BA5756">
              <w:rPr>
                <w:sz w:val="28"/>
                <w:szCs w:val="28"/>
              </w:rPr>
              <w:t>є</w:t>
            </w:r>
            <w:r w:rsidRPr="00BA5756">
              <w:rPr>
                <w:sz w:val="28"/>
                <w:szCs w:val="28"/>
              </w:rPr>
              <w:t>кт</w:t>
            </w:r>
            <w:proofErr w:type="spellEnd"/>
            <w:r w:rsidRPr="00BA5756">
              <w:rPr>
                <w:sz w:val="28"/>
                <w:szCs w:val="28"/>
              </w:rPr>
              <w:t xml:space="preserve"> підготовлено департаментом охорони здоров’я та медичних послуг Черкаської міської ради. </w:t>
            </w:r>
            <w:r w:rsidR="00E14ABE" w:rsidRPr="00BA5756">
              <w:rPr>
                <w:sz w:val="28"/>
                <w:szCs w:val="28"/>
              </w:rPr>
              <w:t xml:space="preserve">Реалізація </w:t>
            </w:r>
            <w:r w:rsidR="00555A01" w:rsidRPr="00BA5756">
              <w:rPr>
                <w:sz w:val="28"/>
                <w:szCs w:val="28"/>
              </w:rPr>
              <w:t>рішення</w:t>
            </w:r>
            <w:r w:rsidR="00E14ABE" w:rsidRPr="00BA5756">
              <w:rPr>
                <w:sz w:val="28"/>
                <w:szCs w:val="28"/>
              </w:rPr>
              <w:t xml:space="preserve"> потребує виділення додаткових коштів з міського бюджету у 20</w:t>
            </w:r>
            <w:r w:rsidR="00B37DD0" w:rsidRPr="00BA5756">
              <w:rPr>
                <w:sz w:val="28"/>
                <w:szCs w:val="28"/>
              </w:rPr>
              <w:t>20</w:t>
            </w:r>
            <w:r w:rsidR="00E14ABE" w:rsidRPr="00BA5756">
              <w:rPr>
                <w:sz w:val="28"/>
                <w:szCs w:val="28"/>
              </w:rPr>
              <w:t xml:space="preserve"> році у сумі </w:t>
            </w:r>
            <w:r w:rsidR="00B37DD0" w:rsidRPr="00BA5756">
              <w:rPr>
                <w:bCs/>
                <w:sz w:val="28"/>
                <w:szCs w:val="28"/>
                <w:lang w:eastAsia="ru-RU"/>
              </w:rPr>
              <w:t xml:space="preserve">12 552 160,76  </w:t>
            </w:r>
            <w:r w:rsidR="00E14ABE" w:rsidRPr="00BA5756">
              <w:rPr>
                <w:sz w:val="28"/>
                <w:szCs w:val="28"/>
              </w:rPr>
              <w:t>грн.</w:t>
            </w:r>
            <w:r w:rsidR="00DB2A48" w:rsidRPr="00BA5756">
              <w:rPr>
                <w:sz w:val="28"/>
                <w:szCs w:val="28"/>
              </w:rPr>
              <w:t xml:space="preserve"> </w:t>
            </w:r>
          </w:p>
          <w:p w:rsidR="004A689C" w:rsidRPr="00BA5756" w:rsidRDefault="004A689C" w:rsidP="00CF17F1">
            <w:pPr>
              <w:ind w:left="108" w:right="103" w:firstLine="540"/>
              <w:jc w:val="both"/>
              <w:rPr>
                <w:sz w:val="28"/>
                <w:szCs w:val="28"/>
              </w:rPr>
            </w:pPr>
            <w:r w:rsidRPr="00BA5756">
              <w:rPr>
                <w:sz w:val="28"/>
                <w:szCs w:val="28"/>
              </w:rPr>
              <w:t>Виходячи з потреби у забезпеченні здійснення пріоритетних заходів пропонуємо здійснити перерозподіл коштів загального фонду міського бюджету за рахунок зменшення видатків по міським цільовим програмам (часткове забезпечення потреби на 2020 рік за рахунок укладених договорів з НСЗУ про медичне обслуговування населення за програмою медичних гарантій, а також за рахунок залишку туберкуліну, лікувального харчування, лікарських засобів та виробів медичного призначення, придбаних у минулому році):</w:t>
            </w:r>
          </w:p>
          <w:p w:rsidR="002C2F1E" w:rsidRPr="00BA5756" w:rsidRDefault="002C2F1E" w:rsidP="002C2F1E">
            <w:pPr>
              <w:numPr>
                <w:ilvl w:val="0"/>
                <w:numId w:val="13"/>
              </w:numPr>
              <w:ind w:left="0" w:firstLine="540"/>
              <w:jc w:val="both"/>
              <w:rPr>
                <w:sz w:val="28"/>
              </w:rPr>
            </w:pPr>
            <w:r w:rsidRPr="00BA5756">
              <w:rPr>
                <w:sz w:val="28"/>
              </w:rPr>
              <w:t xml:space="preserve">зменшити обсяг асигнувань по КПКВК 0712010 «Багатопрофільна стаціонарна медична допомога населенню» КЕКВ 2610 «Субсидії та поточні трансферти підприємствам (установам, організаціям)» </w:t>
            </w:r>
            <w:r w:rsidRPr="00BA5756">
              <w:rPr>
                <w:i/>
                <w:sz w:val="28"/>
                <w:lang w:eastAsia="ru-RU"/>
              </w:rPr>
              <w:t xml:space="preserve">(міська програма </w:t>
            </w:r>
            <w:r w:rsidRPr="00BA5756">
              <w:rPr>
                <w:i/>
                <w:sz w:val="28"/>
              </w:rPr>
              <w:t xml:space="preserve">забезпечення </w:t>
            </w:r>
            <w:proofErr w:type="spellStart"/>
            <w:r w:rsidRPr="00BA5756">
              <w:rPr>
                <w:i/>
                <w:sz w:val="28"/>
              </w:rPr>
              <w:t>туберкулінодіагностикою</w:t>
            </w:r>
            <w:proofErr w:type="spellEnd"/>
            <w:r w:rsidRPr="00BA5756">
              <w:rPr>
                <w:i/>
                <w:sz w:val="28"/>
              </w:rPr>
              <w:t xml:space="preserve"> дитячого населення міста Черкаси на 2018-2020 роки</w:t>
            </w:r>
            <w:r w:rsidRPr="00BA5756">
              <w:rPr>
                <w:i/>
                <w:sz w:val="28"/>
                <w:lang w:eastAsia="ru-RU"/>
              </w:rPr>
              <w:t xml:space="preserve">) </w:t>
            </w:r>
            <w:r w:rsidRPr="00BA5756">
              <w:rPr>
                <w:sz w:val="28"/>
              </w:rPr>
              <w:t>на суму 1 532 174,00 грн.;</w:t>
            </w:r>
          </w:p>
          <w:p w:rsidR="002C2F1E" w:rsidRPr="00BA5756" w:rsidRDefault="002C2F1E" w:rsidP="002C2F1E">
            <w:pPr>
              <w:numPr>
                <w:ilvl w:val="0"/>
                <w:numId w:val="13"/>
              </w:numPr>
              <w:ind w:left="0" w:firstLine="540"/>
              <w:jc w:val="both"/>
              <w:rPr>
                <w:sz w:val="28"/>
              </w:rPr>
            </w:pPr>
            <w:r w:rsidRPr="00BA5756">
              <w:rPr>
                <w:sz w:val="28"/>
              </w:rPr>
              <w:t xml:space="preserve">зменшити обсяг асигнувань по КПКВК 0712010 «Багатопрофільна стаціонарна медична допомога населенню» КЕКВ 2610 «Субсидії та поточні трансферти підприємствам (установам, організаціям)» </w:t>
            </w:r>
            <w:r w:rsidRPr="00BA5756">
              <w:rPr>
                <w:i/>
                <w:sz w:val="28"/>
                <w:lang w:eastAsia="ru-RU"/>
              </w:rPr>
              <w:t xml:space="preserve">(міська програма </w:t>
            </w:r>
            <w:r w:rsidRPr="00BA5756">
              <w:rPr>
                <w:i/>
                <w:sz w:val="28"/>
              </w:rPr>
              <w:t xml:space="preserve">забезпечення лікувальним харчуванням тяжкохворих та дітей, хворих на </w:t>
            </w:r>
            <w:proofErr w:type="spellStart"/>
            <w:r w:rsidRPr="00BA5756">
              <w:rPr>
                <w:i/>
                <w:sz w:val="28"/>
              </w:rPr>
              <w:t>фенілкетонурію</w:t>
            </w:r>
            <w:proofErr w:type="spellEnd"/>
            <w:r w:rsidRPr="00BA5756">
              <w:rPr>
                <w:i/>
                <w:sz w:val="28"/>
              </w:rPr>
              <w:t xml:space="preserve"> віком від 3 до 18 років, на 2017- 2020 роки</w:t>
            </w:r>
            <w:r w:rsidRPr="00BA5756">
              <w:rPr>
                <w:i/>
                <w:sz w:val="28"/>
                <w:lang w:eastAsia="ru-RU"/>
              </w:rPr>
              <w:t xml:space="preserve">) </w:t>
            </w:r>
            <w:r w:rsidRPr="00BA5756">
              <w:rPr>
                <w:sz w:val="28"/>
              </w:rPr>
              <w:t>на суму 3 554 740,00 грн.;</w:t>
            </w:r>
          </w:p>
          <w:p w:rsidR="002C2F1E" w:rsidRPr="00BA5756" w:rsidRDefault="002C2F1E" w:rsidP="002C2F1E">
            <w:pPr>
              <w:numPr>
                <w:ilvl w:val="0"/>
                <w:numId w:val="13"/>
              </w:numPr>
              <w:ind w:left="0" w:firstLine="540"/>
              <w:jc w:val="both"/>
              <w:rPr>
                <w:sz w:val="28"/>
              </w:rPr>
            </w:pPr>
            <w:r w:rsidRPr="00BA5756">
              <w:rPr>
                <w:sz w:val="28"/>
              </w:rPr>
              <w:t xml:space="preserve">зменшити обсяг асигнувань по КПКВК 0712030 «Лікарсько-акушерська допомога вагітним, породіллям та новонародженим» КЕКВ 2610 «Субсидії та поточні трансферти підприємствам (установам, організаціям)» </w:t>
            </w:r>
            <w:r w:rsidRPr="00BA5756">
              <w:rPr>
                <w:i/>
                <w:sz w:val="28"/>
                <w:lang w:eastAsia="ru-RU"/>
              </w:rPr>
              <w:t xml:space="preserve">(міська програма </w:t>
            </w:r>
            <w:r w:rsidRPr="00BA5756">
              <w:rPr>
                <w:i/>
                <w:sz w:val="28"/>
              </w:rPr>
              <w:t>"Репродуктивне здоров’я на 2019-2021 роки"</w:t>
            </w:r>
            <w:r w:rsidRPr="00BA5756">
              <w:rPr>
                <w:i/>
                <w:sz w:val="28"/>
                <w:lang w:eastAsia="ru-RU"/>
              </w:rPr>
              <w:t xml:space="preserve">) </w:t>
            </w:r>
            <w:r w:rsidRPr="00BA5756">
              <w:rPr>
                <w:sz w:val="28"/>
              </w:rPr>
              <w:t>на суму 1 456 737,61 грн.;</w:t>
            </w:r>
          </w:p>
          <w:p w:rsidR="002C2F1E" w:rsidRPr="00BA5756" w:rsidRDefault="002C2F1E" w:rsidP="002C2F1E">
            <w:pPr>
              <w:numPr>
                <w:ilvl w:val="0"/>
                <w:numId w:val="13"/>
              </w:numPr>
              <w:ind w:left="0" w:firstLine="540"/>
              <w:jc w:val="both"/>
              <w:rPr>
                <w:sz w:val="28"/>
              </w:rPr>
            </w:pPr>
            <w:r w:rsidRPr="00BA5756">
              <w:rPr>
                <w:sz w:val="28"/>
              </w:rPr>
              <w:t xml:space="preserve">збільшити обсяг асигнувань по КПКВК 0712144 «Централізовані заходи з лікування хворих на цукровий та нецукровий діабет» КЕКВ 2730 «Інші виплати населенню» </w:t>
            </w:r>
            <w:r w:rsidRPr="00BA5756">
              <w:rPr>
                <w:i/>
                <w:sz w:val="28"/>
                <w:lang w:eastAsia="ru-RU"/>
              </w:rPr>
              <w:t xml:space="preserve">(міська програма </w:t>
            </w:r>
            <w:r w:rsidRPr="00BA5756">
              <w:rPr>
                <w:i/>
                <w:sz w:val="28"/>
              </w:rPr>
              <w:t>забезпечення препаратами інсуліну хворих на цукровий діабет на 2019 - 2020 роки</w:t>
            </w:r>
            <w:r w:rsidRPr="00BA5756">
              <w:rPr>
                <w:i/>
                <w:sz w:val="28"/>
                <w:lang w:eastAsia="ru-RU"/>
              </w:rPr>
              <w:t xml:space="preserve">) </w:t>
            </w:r>
            <w:r w:rsidRPr="00BA5756">
              <w:rPr>
                <w:sz w:val="28"/>
              </w:rPr>
              <w:t>на суму 6543651,61 грн.</w:t>
            </w:r>
          </w:p>
          <w:p w:rsidR="00FB42CE" w:rsidRPr="00BA5756" w:rsidRDefault="002C2F1E" w:rsidP="002C2F1E">
            <w:pPr>
              <w:ind w:firstLine="540"/>
              <w:jc w:val="both"/>
              <w:rPr>
                <w:sz w:val="32"/>
                <w:szCs w:val="28"/>
              </w:rPr>
            </w:pPr>
            <w:r w:rsidRPr="00BA5756">
              <w:rPr>
                <w:sz w:val="28"/>
              </w:rPr>
              <w:lastRenderedPageBreak/>
              <w:t>Крім того, у разі відсутності додаткового фінансування з державного та обласного бюджетів необхідно буде виділити додаткові кошти з міського бюджету у сумі 6 008 509,15 грн.</w:t>
            </w:r>
          </w:p>
          <w:p w:rsidR="007A3C7F" w:rsidRPr="00BA5756" w:rsidRDefault="007A3C7F" w:rsidP="00CF17F1">
            <w:pPr>
              <w:ind w:firstLine="540"/>
              <w:jc w:val="both"/>
              <w:rPr>
                <w:sz w:val="32"/>
                <w:szCs w:val="28"/>
              </w:rPr>
            </w:pPr>
          </w:p>
          <w:p w:rsidR="004A689C" w:rsidRPr="00BA5756" w:rsidRDefault="004A689C" w:rsidP="007A3C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798E" w:rsidRPr="00BA5756" w:rsidTr="00FF2651">
        <w:tc>
          <w:tcPr>
            <w:tcW w:w="1637" w:type="pct"/>
            <w:noWrap/>
          </w:tcPr>
          <w:p w:rsidR="008B798E" w:rsidRPr="00BA5756" w:rsidRDefault="000C053D" w:rsidP="00A66490">
            <w:pPr>
              <w:rPr>
                <w:sz w:val="20"/>
                <w:szCs w:val="20"/>
              </w:rPr>
            </w:pPr>
            <w:r w:rsidRPr="00BA5756">
              <w:rPr>
                <w:sz w:val="28"/>
                <w:szCs w:val="28"/>
              </w:rPr>
              <w:lastRenderedPageBreak/>
              <w:t>Директор</w:t>
            </w:r>
            <w:r w:rsidR="008B798E" w:rsidRPr="00BA5756">
              <w:rPr>
                <w:sz w:val="28"/>
                <w:szCs w:val="28"/>
              </w:rPr>
              <w:t xml:space="preserve"> департаменту </w:t>
            </w:r>
          </w:p>
        </w:tc>
        <w:tc>
          <w:tcPr>
            <w:tcW w:w="371" w:type="pct"/>
            <w:noWrap/>
          </w:tcPr>
          <w:p w:rsidR="008B798E" w:rsidRPr="00BA5756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noWrap/>
          </w:tcPr>
          <w:p w:rsidR="008B798E" w:rsidRPr="00BA5756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noWrap/>
          </w:tcPr>
          <w:p w:rsidR="008B798E" w:rsidRPr="00BA5756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</w:tcPr>
          <w:p w:rsidR="008B798E" w:rsidRPr="00BA5756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noWrap/>
          </w:tcPr>
          <w:p w:rsidR="008B798E" w:rsidRPr="00BA5756" w:rsidRDefault="000C053D" w:rsidP="00A66490">
            <w:pPr>
              <w:jc w:val="right"/>
              <w:rPr>
                <w:sz w:val="20"/>
                <w:szCs w:val="20"/>
              </w:rPr>
            </w:pPr>
            <w:r w:rsidRPr="00BA5756">
              <w:rPr>
                <w:sz w:val="28"/>
                <w:szCs w:val="28"/>
              </w:rPr>
              <w:t>О.М.Стадник</w:t>
            </w:r>
          </w:p>
        </w:tc>
      </w:tr>
      <w:tr w:rsidR="004974A3" w:rsidRPr="00BA5756" w:rsidTr="00FF2651">
        <w:tc>
          <w:tcPr>
            <w:tcW w:w="1637" w:type="pct"/>
            <w:noWrap/>
          </w:tcPr>
          <w:p w:rsidR="00955DDC" w:rsidRPr="00BA5756" w:rsidRDefault="00955DDC" w:rsidP="00A66490">
            <w:pPr>
              <w:jc w:val="both"/>
              <w:rPr>
                <w:szCs w:val="28"/>
              </w:rPr>
            </w:pPr>
          </w:p>
          <w:p w:rsidR="00C64A21" w:rsidRPr="00BA5756" w:rsidRDefault="00E816EE" w:rsidP="00073B8D">
            <w:pPr>
              <w:jc w:val="both"/>
              <w:rPr>
                <w:sz w:val="20"/>
                <w:szCs w:val="20"/>
              </w:rPr>
            </w:pPr>
            <w:r w:rsidRPr="00BA5756">
              <w:rPr>
                <w:sz w:val="20"/>
                <w:szCs w:val="20"/>
              </w:rPr>
              <w:t>вик. Галушка Г.Ю.</w:t>
            </w:r>
            <w:r w:rsidR="00073B8D" w:rsidRPr="00BA5756">
              <w:rPr>
                <w:sz w:val="20"/>
                <w:szCs w:val="20"/>
              </w:rPr>
              <w:t xml:space="preserve"> </w:t>
            </w:r>
            <w:r w:rsidRPr="00BA5756">
              <w:rPr>
                <w:sz w:val="20"/>
                <w:szCs w:val="20"/>
              </w:rPr>
              <w:t>37-53-93</w:t>
            </w:r>
          </w:p>
        </w:tc>
        <w:tc>
          <w:tcPr>
            <w:tcW w:w="371" w:type="pct"/>
            <w:noWrap/>
          </w:tcPr>
          <w:p w:rsidR="00955DDC" w:rsidRPr="00BA5756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noWrap/>
          </w:tcPr>
          <w:p w:rsidR="00955DDC" w:rsidRPr="00BA5756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noWrap/>
          </w:tcPr>
          <w:p w:rsidR="00955DDC" w:rsidRPr="00BA5756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</w:tcPr>
          <w:p w:rsidR="00955DDC" w:rsidRPr="00BA5756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noWrap/>
          </w:tcPr>
          <w:p w:rsidR="00955DDC" w:rsidRPr="00BA5756" w:rsidRDefault="00955DDC" w:rsidP="00A66490">
            <w:pPr>
              <w:jc w:val="right"/>
              <w:rPr>
                <w:b/>
                <w:sz w:val="28"/>
                <w:szCs w:val="20"/>
              </w:rPr>
            </w:pPr>
          </w:p>
        </w:tc>
      </w:tr>
    </w:tbl>
    <w:p w:rsidR="00DA79B5" w:rsidRPr="00BA5756" w:rsidRDefault="00DA79B5" w:rsidP="008F29A4">
      <w:pPr>
        <w:tabs>
          <w:tab w:val="left" w:pos="4095"/>
          <w:tab w:val="left" w:pos="4473"/>
        </w:tabs>
        <w:rPr>
          <w:sz w:val="28"/>
          <w:szCs w:val="28"/>
          <w:lang w:eastAsia="en-US"/>
        </w:rPr>
        <w:sectPr w:rsidR="00DA79B5" w:rsidRPr="00BA5756" w:rsidSect="008F29A4">
          <w:pgSz w:w="11906" w:h="16838"/>
          <w:pgMar w:top="567" w:right="567" w:bottom="567" w:left="158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DA79B5" w:rsidRPr="00BA5756" w:rsidTr="00DA79B5">
        <w:trPr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DA79B5" w:rsidRPr="00BA5756" w:rsidRDefault="00DA79B5" w:rsidP="0008561F">
            <w:pPr>
              <w:ind w:firstLine="11482"/>
            </w:pPr>
            <w:r w:rsidRPr="00BA5756">
              <w:lastRenderedPageBreak/>
              <w:t>Додаток 1</w:t>
            </w:r>
          </w:p>
          <w:p w:rsidR="00DA79B5" w:rsidRPr="00BA5756" w:rsidRDefault="00DA79B5" w:rsidP="0008561F">
            <w:pPr>
              <w:ind w:firstLine="11482"/>
            </w:pPr>
            <w:r w:rsidRPr="00BA5756">
              <w:t>до пояснювальної записки</w:t>
            </w:r>
          </w:p>
          <w:p w:rsidR="00DA79B5" w:rsidRPr="00BA5756" w:rsidRDefault="00DA79B5" w:rsidP="00A32FAF">
            <w:pPr>
              <w:jc w:val="center"/>
            </w:pPr>
          </w:p>
          <w:p w:rsidR="00A32FAF" w:rsidRPr="00BA5756" w:rsidRDefault="00A32FAF" w:rsidP="00A32FAF">
            <w:pPr>
              <w:jc w:val="center"/>
              <w:rPr>
                <w:sz w:val="28"/>
              </w:rPr>
            </w:pPr>
            <w:r w:rsidRPr="00BA5756">
              <w:rPr>
                <w:sz w:val="28"/>
              </w:rPr>
              <w:t>Розрахунок обсягів фінансування на 2020 рік</w:t>
            </w:r>
          </w:p>
          <w:p w:rsidR="003C66E3" w:rsidRPr="00BA5756" w:rsidRDefault="003C66E3" w:rsidP="00A32FAF">
            <w:pPr>
              <w:jc w:val="center"/>
              <w:rPr>
                <w:sz w:val="28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97"/>
              <w:gridCol w:w="1419"/>
              <w:gridCol w:w="1416"/>
              <w:gridCol w:w="3261"/>
              <w:gridCol w:w="2307"/>
              <w:gridCol w:w="2194"/>
            </w:tblGrid>
            <w:tr w:rsidR="003C66E3" w:rsidRPr="00BA5756" w:rsidTr="003C66E3">
              <w:trPr>
                <w:trHeight w:val="780"/>
              </w:trPr>
              <w:tc>
                <w:tcPr>
                  <w:tcW w:w="16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>Факт 2018 року</w:t>
                  </w:r>
                </w:p>
              </w:tc>
              <w:tc>
                <w:tcPr>
                  <w:tcW w:w="4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>Факт 2019 року</w:t>
                  </w:r>
                </w:p>
              </w:tc>
              <w:tc>
                <w:tcPr>
                  <w:tcW w:w="10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Потреба на 2020 рік  </w:t>
                  </w:r>
                  <w:r w:rsidRPr="00BA5756">
                    <w:rPr>
                      <w:sz w:val="22"/>
                      <w:lang w:eastAsia="ru-RU"/>
                    </w:rPr>
                    <w:t>(розрахункова потреба згідно з фактичним споживанням за 2019 рік з індексом інфляції 1,06)</w:t>
                  </w:r>
                </w:p>
              </w:tc>
              <w:tc>
                <w:tcPr>
                  <w:tcW w:w="7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>Затверджено на І квартал 2020 року з урахуванням змін</w:t>
                  </w:r>
                </w:p>
              </w:tc>
              <w:tc>
                <w:tcPr>
                  <w:tcW w:w="6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jc w:val="center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>Очікуваний дефіцит до кінця 2020 року</w:t>
                  </w:r>
                </w:p>
              </w:tc>
            </w:tr>
            <w:tr w:rsidR="003C66E3" w:rsidRPr="00BA5756" w:rsidTr="003C66E3">
              <w:trPr>
                <w:trHeight w:val="825"/>
              </w:trPr>
              <w:tc>
                <w:tcPr>
                  <w:tcW w:w="16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4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</w:p>
              </w:tc>
            </w:tr>
            <w:tr w:rsidR="00A32FAF" w:rsidRPr="00BA5756" w:rsidTr="003C66E3">
              <w:trPr>
                <w:trHeight w:val="510"/>
              </w:trPr>
              <w:tc>
                <w:tcPr>
                  <w:tcW w:w="1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>Обсяг фінансування на відшкодування вартості препаратів інсуліну для забезпечення хворих на цукровий діабет (грн.)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10 430 038  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13 921 816  </w:t>
                  </w:r>
                </w:p>
              </w:tc>
              <w:tc>
                <w:tcPr>
                  <w:tcW w:w="10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14 757 125  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2 204 964,24 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bCs/>
                      <w:lang w:eastAsia="ru-RU"/>
                    </w:rPr>
                  </w:pPr>
                  <w:r w:rsidRPr="00BA5756">
                    <w:rPr>
                      <w:bCs/>
                      <w:sz w:val="22"/>
                      <w:lang w:eastAsia="ru-RU"/>
                    </w:rPr>
                    <w:t xml:space="preserve">12 552 160,76  </w:t>
                  </w:r>
                </w:p>
              </w:tc>
            </w:tr>
            <w:tr w:rsidR="003C66E3" w:rsidRPr="00BA5756" w:rsidTr="003C66E3">
              <w:trPr>
                <w:trHeight w:val="255"/>
              </w:trPr>
              <w:tc>
                <w:tcPr>
                  <w:tcW w:w="1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Кількість хворих на цукровий діабет, що потребують забезпечення препаратами інсуліну (осіб)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2068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2146</w:t>
                  </w:r>
                </w:p>
              </w:tc>
              <w:tc>
                <w:tcPr>
                  <w:tcW w:w="10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2154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2154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2154</w:t>
                  </w:r>
                </w:p>
              </w:tc>
            </w:tr>
            <w:tr w:rsidR="003C66E3" w:rsidRPr="00BA5756" w:rsidTr="003C66E3">
              <w:trPr>
                <w:trHeight w:val="510"/>
              </w:trPr>
              <w:tc>
                <w:tcPr>
                  <w:tcW w:w="1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Середні видатки на одну особу, що потребує препаратів інсуліну, вартість яких підлягає відшкодуванню (грн.)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5043,54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6487,33</w:t>
                  </w:r>
                </w:p>
              </w:tc>
              <w:tc>
                <w:tcPr>
                  <w:tcW w:w="10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6851,03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1023,66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5827,37</w:t>
                  </w:r>
                </w:p>
              </w:tc>
            </w:tr>
            <w:tr w:rsidR="003C66E3" w:rsidRPr="00BA5756" w:rsidTr="003C66E3">
              <w:trPr>
                <w:trHeight w:val="255"/>
              </w:trPr>
              <w:tc>
                <w:tcPr>
                  <w:tcW w:w="1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Забезпеченість хворих препаратами інсуліну за програмою (%)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10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14,9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85,1</w:t>
                  </w:r>
                </w:p>
              </w:tc>
            </w:tr>
            <w:tr w:rsidR="003C66E3" w:rsidRPr="00BA5756" w:rsidTr="003C66E3">
              <w:trPr>
                <w:trHeight w:val="510"/>
              </w:trPr>
              <w:tc>
                <w:tcPr>
                  <w:tcW w:w="1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Динаміка кількості хворих на цукровий діабет, що забезпечуються препаратами інсуліну за програмою (%)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х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3,8</w:t>
                  </w:r>
                </w:p>
              </w:tc>
              <w:tc>
                <w:tcPr>
                  <w:tcW w:w="10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0,4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0,4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2FAF" w:rsidRPr="00BA5756" w:rsidRDefault="00A32FAF" w:rsidP="00A32FAF">
                  <w:pPr>
                    <w:jc w:val="right"/>
                    <w:rPr>
                      <w:lang w:eastAsia="ru-RU"/>
                    </w:rPr>
                  </w:pPr>
                  <w:r w:rsidRPr="00BA5756">
                    <w:rPr>
                      <w:sz w:val="22"/>
                      <w:lang w:eastAsia="ru-RU"/>
                    </w:rPr>
                    <w:t>0,4</w:t>
                  </w:r>
                </w:p>
              </w:tc>
            </w:tr>
          </w:tbl>
          <w:p w:rsidR="00A32FAF" w:rsidRPr="00BA5756" w:rsidRDefault="00A32FAF" w:rsidP="00A32FAF">
            <w:pPr>
              <w:jc w:val="center"/>
            </w:pPr>
          </w:p>
          <w:p w:rsidR="00A32FAF" w:rsidRPr="00BA5756" w:rsidRDefault="00A32FAF" w:rsidP="00A32FAF">
            <w:pPr>
              <w:jc w:val="center"/>
            </w:pPr>
          </w:p>
          <w:p w:rsidR="00A32FAF" w:rsidRPr="00BA5756" w:rsidRDefault="00A32FAF" w:rsidP="00A32FAF">
            <w:pPr>
              <w:jc w:val="center"/>
            </w:pPr>
          </w:p>
          <w:p w:rsidR="00A32FAF" w:rsidRPr="00BA5756" w:rsidRDefault="00A32FAF" w:rsidP="00A32FAF">
            <w:pPr>
              <w:jc w:val="center"/>
            </w:pPr>
          </w:p>
          <w:p w:rsidR="00DA79B5" w:rsidRPr="00BA5756" w:rsidRDefault="00DA79B5" w:rsidP="00DA79B5">
            <w:pPr>
              <w:ind w:firstLine="11482"/>
            </w:pPr>
          </w:p>
        </w:tc>
      </w:tr>
    </w:tbl>
    <w:p w:rsidR="00DA79B5" w:rsidRPr="00BA5756" w:rsidRDefault="00DA79B5" w:rsidP="004E2170">
      <w:pPr>
        <w:ind w:firstLine="11482"/>
        <w:sectPr w:rsidR="00DA79B5" w:rsidRPr="00BA5756" w:rsidSect="00A32FA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1B044B" w:rsidRPr="00BA5756" w:rsidTr="0060355C">
        <w:trPr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1B044B" w:rsidRPr="00BA5756" w:rsidRDefault="001B044B" w:rsidP="004E2170">
            <w:pPr>
              <w:ind w:firstLine="11482"/>
            </w:pPr>
            <w:r w:rsidRPr="00BA5756">
              <w:lastRenderedPageBreak/>
              <w:t xml:space="preserve">Додаток </w:t>
            </w:r>
            <w:r w:rsidR="00DA79B5" w:rsidRPr="00BA5756">
              <w:t>2</w:t>
            </w:r>
          </w:p>
          <w:p w:rsidR="001B044B" w:rsidRPr="00BA5756" w:rsidRDefault="001B044B" w:rsidP="004E2170">
            <w:pPr>
              <w:ind w:firstLine="11482"/>
              <w:rPr>
                <w:sz w:val="28"/>
                <w:szCs w:val="28"/>
              </w:rPr>
            </w:pPr>
            <w:r w:rsidRPr="00BA5756">
              <w:t>до пояснювальної записки</w:t>
            </w:r>
          </w:p>
          <w:p w:rsidR="001B044B" w:rsidRPr="00BA5756" w:rsidRDefault="001B044B" w:rsidP="004E2170">
            <w:pPr>
              <w:jc w:val="center"/>
              <w:rPr>
                <w:sz w:val="18"/>
                <w:szCs w:val="28"/>
              </w:rPr>
            </w:pPr>
          </w:p>
          <w:p w:rsidR="001B044B" w:rsidRPr="00BA5756" w:rsidRDefault="001B044B" w:rsidP="004E2170">
            <w:pPr>
              <w:pStyle w:val="af3"/>
              <w:tabs>
                <w:tab w:val="left" w:pos="540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5756">
              <w:rPr>
                <w:rFonts w:ascii="Times New Roman" w:hAnsi="Times New Roman"/>
                <w:bCs/>
                <w:sz w:val="28"/>
                <w:szCs w:val="24"/>
              </w:rPr>
              <w:t xml:space="preserve">Звіт </w:t>
            </w:r>
            <w:r w:rsidRPr="00BA5756">
              <w:rPr>
                <w:rFonts w:ascii="Times New Roman" w:hAnsi="Times New Roman"/>
                <w:sz w:val="28"/>
                <w:szCs w:val="24"/>
              </w:rPr>
              <w:t>про виконання програми</w:t>
            </w:r>
          </w:p>
          <w:p w:rsidR="001B044B" w:rsidRPr="00BA5756" w:rsidRDefault="00C165F8" w:rsidP="004E2170">
            <w:pPr>
              <w:jc w:val="center"/>
            </w:pPr>
            <w:r w:rsidRPr="00BA5756">
              <w:rPr>
                <w:sz w:val="28"/>
              </w:rPr>
              <w:t>Забезпечення препаратами інсуліну хворих на цукровий діабет на 2019 рік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5926"/>
              <w:gridCol w:w="1133"/>
              <w:gridCol w:w="1701"/>
              <w:gridCol w:w="2128"/>
              <w:gridCol w:w="2794"/>
              <w:gridCol w:w="1422"/>
            </w:tblGrid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vAlign w:val="center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t>№ з/п</w:t>
                  </w: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FC721F" w:rsidRPr="00BA5756" w:rsidRDefault="00FC721F" w:rsidP="004E2170">
                  <w:pPr>
                    <w:jc w:val="center"/>
                    <w:rPr>
                      <w:bCs/>
                    </w:rPr>
                  </w:pPr>
                  <w:r w:rsidRPr="00BA5756">
                    <w:rPr>
                      <w:bCs/>
                    </w:rPr>
                    <w:t>Показники 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t>Один. виміру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t>Джерело інформації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FC721F" w:rsidRPr="00BA5756" w:rsidRDefault="00A122D6" w:rsidP="004E2170">
                  <w:pPr>
                    <w:jc w:val="center"/>
                  </w:pPr>
                  <w:r w:rsidRPr="00BA5756">
                    <w:rPr>
                      <w:sz w:val="22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890" w:type="pct"/>
                  <w:shd w:val="clear" w:color="auto" w:fill="auto"/>
                  <w:vAlign w:val="center"/>
                  <w:hideMark/>
                </w:tcPr>
                <w:p w:rsidR="00FC721F" w:rsidRPr="00BA5756" w:rsidRDefault="00A122D6" w:rsidP="004E2170">
                  <w:pPr>
                    <w:jc w:val="center"/>
                  </w:pPr>
                  <w:r w:rsidRPr="00BA5756">
                    <w:rPr>
                      <w:sz w:val="20"/>
                    </w:rPr>
                    <w:t>Фактичні результативні показники, досягнуті за рахунок касових видатків (наданих кредитів з бюджету)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FC721F" w:rsidRPr="00BA5756" w:rsidRDefault="00A122D6" w:rsidP="00A122D6">
                  <w:pPr>
                    <w:jc w:val="center"/>
                  </w:pPr>
                  <w:r w:rsidRPr="00BA5756">
                    <w:t>Відхилення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затрат:</w:t>
                  </w:r>
                </w:p>
              </w:tc>
              <w:tc>
                <w:tcPr>
                  <w:tcW w:w="361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2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0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bottom"/>
                  <w:hideMark/>
                </w:tcPr>
                <w:p w:rsidR="00FC721F" w:rsidRPr="00BA5756" w:rsidRDefault="00FC721F" w:rsidP="004E2170">
                  <w:r w:rsidRPr="00BA57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A122D6" w:rsidRPr="00BA5756" w:rsidRDefault="00A122D6" w:rsidP="004E2170">
                  <w:pPr>
                    <w:jc w:val="center"/>
                  </w:pP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A122D6" w:rsidRPr="00BA5756" w:rsidRDefault="00A122D6">
                  <w:r w:rsidRPr="00BA5756">
                    <w:rPr>
                      <w:sz w:val="22"/>
                      <w:szCs w:val="22"/>
                    </w:rPr>
                    <w:t>Обсяг фінансування на відшкодування вартості препаратів інсуліну для забезпечення хворих на цукровий діабет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A122D6" w:rsidRPr="00BA5756" w:rsidRDefault="00A122D6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грн.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A122D6" w:rsidRPr="00BA5756" w:rsidRDefault="00A122D6" w:rsidP="000A6668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міський бюджет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A122D6" w:rsidRPr="00BA5756" w:rsidRDefault="00A122D6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14 355 845,22  </w:t>
                  </w:r>
                </w:p>
              </w:tc>
              <w:tc>
                <w:tcPr>
                  <w:tcW w:w="890" w:type="pct"/>
                  <w:shd w:val="clear" w:color="auto" w:fill="auto"/>
                  <w:vAlign w:val="center"/>
                  <w:hideMark/>
                </w:tcPr>
                <w:p w:rsidR="00A122D6" w:rsidRPr="00BA5756" w:rsidRDefault="00A122D6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13 921 816,11  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A122D6" w:rsidRPr="00BA5756" w:rsidRDefault="00A122D6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-434 029,11  </w:t>
                  </w:r>
                </w:p>
              </w:tc>
            </w:tr>
            <w:tr w:rsidR="00FC721F" w:rsidRPr="00BA5756" w:rsidTr="0060355C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</w:p>
              </w:tc>
              <w:tc>
                <w:tcPr>
                  <w:tcW w:w="4812" w:type="pct"/>
                  <w:gridSpan w:val="6"/>
                  <w:shd w:val="clear" w:color="auto" w:fill="auto"/>
                  <w:vAlign w:val="center"/>
                  <w:hideMark/>
                </w:tcPr>
                <w:p w:rsidR="00FC721F" w:rsidRPr="00BA5756" w:rsidRDefault="00FC721F" w:rsidP="00853BC1">
                  <w:r w:rsidRPr="00BA5756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 w:rsidR="00A122D6" w:rsidRPr="00BA5756">
                    <w:rPr>
                      <w:i/>
                      <w:iCs/>
                      <w:sz w:val="22"/>
                      <w:szCs w:val="22"/>
                    </w:rPr>
                    <w:t xml:space="preserve">Кошти на реалізацію програми були використані на 97,0 </w:t>
                  </w:r>
                  <w:proofErr w:type="spellStart"/>
                  <w:r w:rsidR="00A122D6" w:rsidRPr="00BA5756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A122D6" w:rsidRPr="00BA5756">
                    <w:rPr>
                      <w:i/>
                      <w:iCs/>
                      <w:sz w:val="22"/>
                      <w:szCs w:val="22"/>
                    </w:rPr>
                    <w:t>. річного плану переважно за рахунок надходження наприкінці року додаткової субвенції з обласного бюджету міському бюджету за рахунок медичної субвенції з державного бюджету та власних коштів обласного бюджету на відшкодування вартості лікарських засобів для лікування хворих на цукровий та нецукровий діабет. Програма виконана відповідно до потреб населення міста.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продукту:</w:t>
                  </w:r>
                </w:p>
              </w:tc>
              <w:tc>
                <w:tcPr>
                  <w:tcW w:w="361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2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0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bottom"/>
                  <w:hideMark/>
                </w:tcPr>
                <w:p w:rsidR="00FC721F" w:rsidRPr="00BA5756" w:rsidRDefault="00FC721F" w:rsidP="004E2170">
                  <w:r w:rsidRPr="00BA57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B81243" w:rsidRPr="00BA5756" w:rsidRDefault="00B81243" w:rsidP="004E2170">
                  <w:pPr>
                    <w:jc w:val="center"/>
                  </w:pP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r w:rsidRPr="00BA5756">
                    <w:rPr>
                      <w:sz w:val="22"/>
                      <w:szCs w:val="22"/>
                    </w:rPr>
                    <w:t>Кількість хворих на цукровий діабет, що потребують забезпечення препаратами інсуліну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осіб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статистична звітність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2126</w:t>
                  </w:r>
                </w:p>
              </w:tc>
              <w:tc>
                <w:tcPr>
                  <w:tcW w:w="890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2146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20  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B81243" w:rsidRPr="00BA5756" w:rsidRDefault="00B81243" w:rsidP="004E2170">
                  <w:pPr>
                    <w:jc w:val="center"/>
                  </w:pP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r w:rsidRPr="00BA5756">
                    <w:rPr>
                      <w:sz w:val="22"/>
                      <w:szCs w:val="22"/>
                    </w:rPr>
                    <w:t>Кількість хворих на цукровий діабет, що забезпечуються препаратами інсуліну за програмою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осіб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статистична звітність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2126</w:t>
                  </w:r>
                </w:p>
              </w:tc>
              <w:tc>
                <w:tcPr>
                  <w:tcW w:w="890" w:type="pct"/>
                  <w:shd w:val="clear" w:color="auto" w:fill="auto"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2146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B81243" w:rsidRPr="00BA5756" w:rsidRDefault="00B81243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20  </w:t>
                  </w:r>
                </w:p>
              </w:tc>
            </w:tr>
            <w:tr w:rsidR="00FC721F" w:rsidRPr="00BA5756" w:rsidTr="0060355C">
              <w:trPr>
                <w:trHeight w:val="566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2" w:type="pct"/>
                  <w:gridSpan w:val="6"/>
                  <w:shd w:val="clear" w:color="auto" w:fill="auto"/>
                  <w:hideMark/>
                </w:tcPr>
                <w:p w:rsidR="00FC721F" w:rsidRPr="00BA5756" w:rsidRDefault="00FC721F" w:rsidP="008A38D2">
                  <w:pPr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 w:rsidR="00B81243" w:rsidRPr="00BA5756">
                    <w:rPr>
                      <w:i/>
                      <w:iCs/>
                      <w:sz w:val="22"/>
                      <w:szCs w:val="22"/>
                    </w:rPr>
                    <w:t xml:space="preserve">Кількість хворих на цукровий діабет, що забезпечені препаратами інсуліну за програмою, збільшилась у порівнянні з плановим показником на 0,9 </w:t>
                  </w:r>
                  <w:proofErr w:type="spellStart"/>
                  <w:r w:rsidR="00B81243" w:rsidRPr="00BA5756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B81243" w:rsidRPr="00BA5756">
                    <w:rPr>
                      <w:i/>
                      <w:iCs/>
                      <w:sz w:val="22"/>
                      <w:szCs w:val="22"/>
                    </w:rPr>
                    <w:t xml:space="preserve">. згідно з реєстром пацієнтів, що потребують </w:t>
                  </w:r>
                  <w:proofErr w:type="spellStart"/>
                  <w:r w:rsidR="00B81243" w:rsidRPr="00BA5756">
                    <w:rPr>
                      <w:i/>
                      <w:iCs/>
                      <w:sz w:val="22"/>
                      <w:szCs w:val="22"/>
                    </w:rPr>
                    <w:t>інсулінотерапії</w:t>
                  </w:r>
                  <w:proofErr w:type="spellEnd"/>
                  <w:r w:rsidR="00B81243" w:rsidRPr="00BA5756">
                    <w:rPr>
                      <w:i/>
                      <w:iCs/>
                      <w:sz w:val="22"/>
                      <w:szCs w:val="22"/>
                    </w:rPr>
                    <w:t>, переважно за рахунок міграції пацієнтів.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ефективності:</w:t>
                  </w:r>
                </w:p>
              </w:tc>
              <w:tc>
                <w:tcPr>
                  <w:tcW w:w="361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2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0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bottom"/>
                  <w:hideMark/>
                </w:tcPr>
                <w:p w:rsidR="00FC721F" w:rsidRPr="00BA5756" w:rsidRDefault="00FC721F" w:rsidP="004E2170">
                  <w:r w:rsidRPr="00BA57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0E6551" w:rsidRPr="00BA5756" w:rsidRDefault="000E6551" w:rsidP="004E2170">
                  <w:pPr>
                    <w:jc w:val="center"/>
                  </w:pP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0E6551" w:rsidRPr="00BA5756" w:rsidRDefault="000E6551">
                  <w:r w:rsidRPr="00BA5756">
                    <w:rPr>
                      <w:sz w:val="22"/>
                      <w:szCs w:val="22"/>
                    </w:rPr>
                    <w:t>Середні видатки на одну особу, що потребує препаратів інсуліну, вартість яких підлягає відшкодуванню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0E6551" w:rsidRPr="00BA5756" w:rsidRDefault="000E6551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грн.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0E6551" w:rsidRPr="00BA5756" w:rsidRDefault="000E6551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розрахунок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0E6551" w:rsidRPr="00BA5756" w:rsidRDefault="000E6551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6752,51</w:t>
                  </w:r>
                </w:p>
              </w:tc>
              <w:tc>
                <w:tcPr>
                  <w:tcW w:w="890" w:type="pct"/>
                  <w:shd w:val="clear" w:color="auto" w:fill="auto"/>
                  <w:vAlign w:val="center"/>
                  <w:hideMark/>
                </w:tcPr>
                <w:p w:rsidR="000E6551" w:rsidRPr="00BA5756" w:rsidRDefault="000E6551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6487,33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0E6551" w:rsidRPr="00BA5756" w:rsidRDefault="000E6551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-265,18  </w:t>
                  </w:r>
                </w:p>
              </w:tc>
            </w:tr>
            <w:tr w:rsidR="00FC721F" w:rsidRPr="00BA5756" w:rsidTr="0060355C">
              <w:trPr>
                <w:trHeight w:val="505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2" w:type="pct"/>
                  <w:gridSpan w:val="6"/>
                  <w:shd w:val="clear" w:color="auto" w:fill="auto"/>
                  <w:hideMark/>
                </w:tcPr>
                <w:p w:rsidR="00FC721F" w:rsidRPr="00BA5756" w:rsidRDefault="00FC721F" w:rsidP="00F43A7E">
                  <w:pPr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 w:rsidR="000E6551" w:rsidRPr="00BA5756">
                    <w:rPr>
                      <w:i/>
                      <w:iCs/>
                      <w:sz w:val="22"/>
                      <w:szCs w:val="22"/>
                    </w:rPr>
                    <w:t>Середні видатки на одну особу, що потребує препаратів інсуліну, вартість яких підлягає відшкодуванню, зменшились пропорційно до змін показників затрат і продукту</w:t>
                  </w:r>
                </w:p>
              </w:tc>
            </w:tr>
            <w:tr w:rsidR="001628BC" w:rsidRPr="00BA5756" w:rsidTr="00EF48F9">
              <w:trPr>
                <w:trHeight w:val="3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якості:</w:t>
                  </w:r>
                </w:p>
              </w:tc>
              <w:tc>
                <w:tcPr>
                  <w:tcW w:w="361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2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0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BA575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bottom"/>
                  <w:hideMark/>
                </w:tcPr>
                <w:p w:rsidR="00FC721F" w:rsidRPr="00BA5756" w:rsidRDefault="00FC721F" w:rsidP="004E2170">
                  <w:r w:rsidRPr="00BA57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628BC" w:rsidRPr="00BA5756" w:rsidTr="00EF48F9">
              <w:trPr>
                <w:trHeight w:val="4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983CEC" w:rsidRPr="00BA5756" w:rsidRDefault="00983CEC" w:rsidP="004E2170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r w:rsidRPr="00BA5756">
                    <w:rPr>
                      <w:sz w:val="22"/>
                      <w:szCs w:val="22"/>
                    </w:rPr>
                    <w:t>Забезпеченість хворих препаратами інсуліну за програмою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розрахунок</w:t>
                  </w:r>
                </w:p>
              </w:tc>
              <w:tc>
                <w:tcPr>
                  <w:tcW w:w="678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90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0,0  </w:t>
                  </w:r>
                </w:p>
              </w:tc>
            </w:tr>
            <w:tr w:rsidR="001628BC" w:rsidRPr="00BA5756" w:rsidTr="00EF48F9">
              <w:trPr>
                <w:trHeight w:val="60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983CEC" w:rsidRPr="00BA5756" w:rsidRDefault="00983CEC" w:rsidP="004E2170">
                  <w:pPr>
                    <w:jc w:val="center"/>
                  </w:pPr>
                </w:p>
              </w:tc>
              <w:tc>
                <w:tcPr>
                  <w:tcW w:w="1888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r w:rsidRPr="00BA5756">
                    <w:rPr>
                      <w:sz w:val="22"/>
                      <w:szCs w:val="22"/>
                    </w:rPr>
                    <w:t>Динаміка кількості хворих на цукровий діабет, що забезпечуються препаратами інсуліну за програмою</w:t>
                  </w:r>
                </w:p>
              </w:tc>
              <w:tc>
                <w:tcPr>
                  <w:tcW w:w="361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42" w:type="pct"/>
                  <w:shd w:val="clear" w:color="auto" w:fill="auto"/>
                  <w:vAlign w:val="center"/>
                  <w:hideMark/>
                </w:tcPr>
                <w:p w:rsidR="00983CEC" w:rsidRPr="00BA5756" w:rsidRDefault="00983CEC">
                  <w:pPr>
                    <w:jc w:val="center"/>
                  </w:pPr>
                  <w:r w:rsidRPr="00BA5756">
                    <w:rPr>
                      <w:sz w:val="22"/>
                      <w:szCs w:val="22"/>
                    </w:rPr>
                    <w:t>розрахунок</w:t>
                  </w:r>
                </w:p>
              </w:tc>
              <w:tc>
                <w:tcPr>
                  <w:tcW w:w="678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890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983CEC" w:rsidRPr="00BA5756" w:rsidRDefault="00983CEC">
                  <w:pPr>
                    <w:jc w:val="right"/>
                  </w:pPr>
                  <w:r w:rsidRPr="00BA5756">
                    <w:rPr>
                      <w:sz w:val="22"/>
                      <w:szCs w:val="22"/>
                    </w:rPr>
                    <w:t xml:space="preserve">1,0  </w:t>
                  </w:r>
                </w:p>
              </w:tc>
            </w:tr>
            <w:tr w:rsidR="00FC721F" w:rsidRPr="00BA5756" w:rsidTr="0060355C">
              <w:trPr>
                <w:trHeight w:val="570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FC721F" w:rsidRPr="00BA5756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2" w:type="pct"/>
                  <w:gridSpan w:val="6"/>
                  <w:shd w:val="clear" w:color="auto" w:fill="auto"/>
                  <w:hideMark/>
                </w:tcPr>
                <w:p w:rsidR="00FC721F" w:rsidRPr="00BA5756" w:rsidRDefault="00FC721F" w:rsidP="004D568F">
                  <w:pPr>
                    <w:rPr>
                      <w:i/>
                      <w:iCs/>
                    </w:rPr>
                  </w:pPr>
                  <w:r w:rsidRPr="00BA5756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 w:rsidR="00983CEC" w:rsidRPr="00BA5756">
                    <w:rPr>
                      <w:i/>
                      <w:iCs/>
                      <w:sz w:val="22"/>
                      <w:szCs w:val="22"/>
                    </w:rPr>
                    <w:t xml:space="preserve">Протягом року хворі на цукровий діабет в повному обсязі були забезпечені препаратами інсуліну. Кількість хворих на цукровий діабет, що забезпечуються препаратами інсуліну за програмою, збільшилась у порівнянні з минулим роком на 1,0 </w:t>
                  </w:r>
                  <w:proofErr w:type="spellStart"/>
                  <w:r w:rsidR="00983CEC" w:rsidRPr="00BA5756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983CEC" w:rsidRPr="00BA5756">
                    <w:rPr>
                      <w:i/>
                      <w:iCs/>
                      <w:sz w:val="22"/>
                      <w:szCs w:val="22"/>
                    </w:rPr>
                    <w:t xml:space="preserve">. згідно з реєстром пацієнтів, що потребують </w:t>
                  </w:r>
                  <w:proofErr w:type="spellStart"/>
                  <w:r w:rsidR="00983CEC" w:rsidRPr="00BA5756">
                    <w:rPr>
                      <w:i/>
                      <w:iCs/>
                      <w:sz w:val="22"/>
                      <w:szCs w:val="22"/>
                    </w:rPr>
                    <w:t>інсулінотерапії</w:t>
                  </w:r>
                  <w:proofErr w:type="spellEnd"/>
                  <w:r w:rsidR="00983CEC" w:rsidRPr="00BA5756">
                    <w:rPr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B044B" w:rsidRPr="00BA5756" w:rsidRDefault="001B044B" w:rsidP="004E2170"/>
        </w:tc>
      </w:tr>
    </w:tbl>
    <w:p w:rsidR="00175225" w:rsidRPr="00BA5756" w:rsidRDefault="00175225" w:rsidP="008F29A4">
      <w:pPr>
        <w:tabs>
          <w:tab w:val="left" w:pos="4095"/>
          <w:tab w:val="left" w:pos="4473"/>
        </w:tabs>
        <w:rPr>
          <w:sz w:val="28"/>
          <w:szCs w:val="28"/>
          <w:lang w:eastAsia="en-US"/>
        </w:rPr>
      </w:pPr>
    </w:p>
    <w:sectPr w:rsidR="00175225" w:rsidRPr="00BA5756" w:rsidSect="001B044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02" w:rsidRDefault="003D6202" w:rsidP="005662F1">
      <w:r>
        <w:separator/>
      </w:r>
    </w:p>
  </w:endnote>
  <w:endnote w:type="continuationSeparator" w:id="0">
    <w:p w:rsidR="003D6202" w:rsidRDefault="003D6202" w:rsidP="005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02" w:rsidRDefault="003D6202" w:rsidP="005662F1">
      <w:r>
        <w:separator/>
      </w:r>
    </w:p>
  </w:footnote>
  <w:footnote w:type="continuationSeparator" w:id="0">
    <w:p w:rsidR="003D6202" w:rsidRDefault="003D6202" w:rsidP="0056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54"/>
    <w:multiLevelType w:val="hybridMultilevel"/>
    <w:tmpl w:val="733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BC2"/>
    <w:multiLevelType w:val="hybridMultilevel"/>
    <w:tmpl w:val="74D45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E76B4"/>
    <w:multiLevelType w:val="multilevel"/>
    <w:tmpl w:val="DA686EDC"/>
    <w:lvl w:ilvl="0">
      <w:start w:val="2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D2F59E2"/>
    <w:multiLevelType w:val="hybridMultilevel"/>
    <w:tmpl w:val="CA36114C"/>
    <w:lvl w:ilvl="0" w:tplc="3F58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368FD"/>
    <w:multiLevelType w:val="hybridMultilevel"/>
    <w:tmpl w:val="0F44E34C"/>
    <w:lvl w:ilvl="0" w:tplc="963640BC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A0CF3"/>
    <w:multiLevelType w:val="hybridMultilevel"/>
    <w:tmpl w:val="7854C958"/>
    <w:lvl w:ilvl="0" w:tplc="C282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4B533A"/>
    <w:multiLevelType w:val="hybridMultilevel"/>
    <w:tmpl w:val="9E140E5C"/>
    <w:lvl w:ilvl="0" w:tplc="5852BC6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10A7119"/>
    <w:multiLevelType w:val="hybridMultilevel"/>
    <w:tmpl w:val="FA2C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018DD"/>
    <w:multiLevelType w:val="hybridMultilevel"/>
    <w:tmpl w:val="E4426BC4"/>
    <w:lvl w:ilvl="0" w:tplc="78B2AE9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43352EF"/>
    <w:multiLevelType w:val="hybridMultilevel"/>
    <w:tmpl w:val="25547874"/>
    <w:lvl w:ilvl="0" w:tplc="5F802E5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A7563A1"/>
    <w:multiLevelType w:val="hybridMultilevel"/>
    <w:tmpl w:val="249CE4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5180"/>
    <w:multiLevelType w:val="hybridMultilevel"/>
    <w:tmpl w:val="F3EADFE8"/>
    <w:lvl w:ilvl="0" w:tplc="5BB2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10E62"/>
    <w:multiLevelType w:val="hybridMultilevel"/>
    <w:tmpl w:val="F4E80F10"/>
    <w:lvl w:ilvl="0" w:tplc="D26E8760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2D"/>
    <w:rsid w:val="00003AC9"/>
    <w:rsid w:val="00006A40"/>
    <w:rsid w:val="00022759"/>
    <w:rsid w:val="0002491A"/>
    <w:rsid w:val="00030EFC"/>
    <w:rsid w:val="00032851"/>
    <w:rsid w:val="0003503B"/>
    <w:rsid w:val="00042FD1"/>
    <w:rsid w:val="0005792E"/>
    <w:rsid w:val="000605BD"/>
    <w:rsid w:val="000605E4"/>
    <w:rsid w:val="00062929"/>
    <w:rsid w:val="00063872"/>
    <w:rsid w:val="00064C3A"/>
    <w:rsid w:val="00066374"/>
    <w:rsid w:val="00073B8D"/>
    <w:rsid w:val="0007505C"/>
    <w:rsid w:val="00076672"/>
    <w:rsid w:val="00081524"/>
    <w:rsid w:val="000839C1"/>
    <w:rsid w:val="00083BFC"/>
    <w:rsid w:val="000852EB"/>
    <w:rsid w:val="00087EE5"/>
    <w:rsid w:val="00091FE4"/>
    <w:rsid w:val="00097B9C"/>
    <w:rsid w:val="000A4ED8"/>
    <w:rsid w:val="000A6668"/>
    <w:rsid w:val="000B1730"/>
    <w:rsid w:val="000C053D"/>
    <w:rsid w:val="000C113E"/>
    <w:rsid w:val="000C1321"/>
    <w:rsid w:val="000C1DC9"/>
    <w:rsid w:val="000C3E19"/>
    <w:rsid w:val="000C7E84"/>
    <w:rsid w:val="000D0772"/>
    <w:rsid w:val="000D0B4D"/>
    <w:rsid w:val="000D186E"/>
    <w:rsid w:val="000E0E71"/>
    <w:rsid w:val="000E2761"/>
    <w:rsid w:val="000E3CD8"/>
    <w:rsid w:val="000E49FC"/>
    <w:rsid w:val="000E6551"/>
    <w:rsid w:val="000F072B"/>
    <w:rsid w:val="000F4128"/>
    <w:rsid w:val="000F51C5"/>
    <w:rsid w:val="000F6A05"/>
    <w:rsid w:val="000F721B"/>
    <w:rsid w:val="00100DB8"/>
    <w:rsid w:val="0010109C"/>
    <w:rsid w:val="00102572"/>
    <w:rsid w:val="00102A22"/>
    <w:rsid w:val="0010491A"/>
    <w:rsid w:val="001057AB"/>
    <w:rsid w:val="00116EA8"/>
    <w:rsid w:val="00121B46"/>
    <w:rsid w:val="00121CE7"/>
    <w:rsid w:val="00123FE1"/>
    <w:rsid w:val="001245A2"/>
    <w:rsid w:val="00124D97"/>
    <w:rsid w:val="001264B3"/>
    <w:rsid w:val="00127B4E"/>
    <w:rsid w:val="00132716"/>
    <w:rsid w:val="00133D63"/>
    <w:rsid w:val="001345F4"/>
    <w:rsid w:val="00134F2B"/>
    <w:rsid w:val="00137BE2"/>
    <w:rsid w:val="001401C9"/>
    <w:rsid w:val="001403DA"/>
    <w:rsid w:val="00146A62"/>
    <w:rsid w:val="00147347"/>
    <w:rsid w:val="00147A61"/>
    <w:rsid w:val="001507F9"/>
    <w:rsid w:val="00151B4D"/>
    <w:rsid w:val="001556DC"/>
    <w:rsid w:val="001556E4"/>
    <w:rsid w:val="001628BC"/>
    <w:rsid w:val="001642E7"/>
    <w:rsid w:val="00166526"/>
    <w:rsid w:val="00166BAF"/>
    <w:rsid w:val="00170236"/>
    <w:rsid w:val="00170270"/>
    <w:rsid w:val="00175225"/>
    <w:rsid w:val="00176A03"/>
    <w:rsid w:val="0018074B"/>
    <w:rsid w:val="00180A2D"/>
    <w:rsid w:val="00183A8A"/>
    <w:rsid w:val="00186845"/>
    <w:rsid w:val="001923CE"/>
    <w:rsid w:val="001B044B"/>
    <w:rsid w:val="001B1F5F"/>
    <w:rsid w:val="001B33B1"/>
    <w:rsid w:val="001C0EBD"/>
    <w:rsid w:val="001C2E90"/>
    <w:rsid w:val="001D798A"/>
    <w:rsid w:val="001E01F1"/>
    <w:rsid w:val="001F3EA6"/>
    <w:rsid w:val="001F5AE0"/>
    <w:rsid w:val="001F71B4"/>
    <w:rsid w:val="002004B8"/>
    <w:rsid w:val="0020376E"/>
    <w:rsid w:val="00207707"/>
    <w:rsid w:val="002206B0"/>
    <w:rsid w:val="00227E2E"/>
    <w:rsid w:val="002350E3"/>
    <w:rsid w:val="00236267"/>
    <w:rsid w:val="002374E8"/>
    <w:rsid w:val="00241941"/>
    <w:rsid w:val="00243D8A"/>
    <w:rsid w:val="00246938"/>
    <w:rsid w:val="002475CF"/>
    <w:rsid w:val="00261D2E"/>
    <w:rsid w:val="002704CA"/>
    <w:rsid w:val="00270880"/>
    <w:rsid w:val="00274E6E"/>
    <w:rsid w:val="0028182E"/>
    <w:rsid w:val="002834FA"/>
    <w:rsid w:val="002855A0"/>
    <w:rsid w:val="00286C52"/>
    <w:rsid w:val="002914CF"/>
    <w:rsid w:val="002925E2"/>
    <w:rsid w:val="00293606"/>
    <w:rsid w:val="00296676"/>
    <w:rsid w:val="002A26BF"/>
    <w:rsid w:val="002A554E"/>
    <w:rsid w:val="002A63A3"/>
    <w:rsid w:val="002A6A6A"/>
    <w:rsid w:val="002B061E"/>
    <w:rsid w:val="002B3397"/>
    <w:rsid w:val="002B4CB7"/>
    <w:rsid w:val="002B71FE"/>
    <w:rsid w:val="002B799B"/>
    <w:rsid w:val="002C2F1E"/>
    <w:rsid w:val="002C31A6"/>
    <w:rsid w:val="002D0A5C"/>
    <w:rsid w:val="002E01CF"/>
    <w:rsid w:val="002E1CA8"/>
    <w:rsid w:val="002E5880"/>
    <w:rsid w:val="002F1591"/>
    <w:rsid w:val="002F3619"/>
    <w:rsid w:val="002F5CA8"/>
    <w:rsid w:val="002F784F"/>
    <w:rsid w:val="00302EBC"/>
    <w:rsid w:val="0030413B"/>
    <w:rsid w:val="00304AF8"/>
    <w:rsid w:val="00306DF9"/>
    <w:rsid w:val="00312284"/>
    <w:rsid w:val="00313437"/>
    <w:rsid w:val="00316129"/>
    <w:rsid w:val="00316903"/>
    <w:rsid w:val="00316FA2"/>
    <w:rsid w:val="00317708"/>
    <w:rsid w:val="0032062D"/>
    <w:rsid w:val="00322A06"/>
    <w:rsid w:val="00323BD5"/>
    <w:rsid w:val="00324E0D"/>
    <w:rsid w:val="00325F9D"/>
    <w:rsid w:val="00332259"/>
    <w:rsid w:val="00332724"/>
    <w:rsid w:val="003331FF"/>
    <w:rsid w:val="00336229"/>
    <w:rsid w:val="0034542B"/>
    <w:rsid w:val="00347EB6"/>
    <w:rsid w:val="003525A1"/>
    <w:rsid w:val="00354B00"/>
    <w:rsid w:val="003577E2"/>
    <w:rsid w:val="0035780F"/>
    <w:rsid w:val="0036224B"/>
    <w:rsid w:val="0037055C"/>
    <w:rsid w:val="00372739"/>
    <w:rsid w:val="003740BE"/>
    <w:rsid w:val="003769ED"/>
    <w:rsid w:val="003778A4"/>
    <w:rsid w:val="003823A0"/>
    <w:rsid w:val="00385964"/>
    <w:rsid w:val="00397922"/>
    <w:rsid w:val="00397C71"/>
    <w:rsid w:val="003A0B98"/>
    <w:rsid w:val="003B0A7B"/>
    <w:rsid w:val="003B1077"/>
    <w:rsid w:val="003B6639"/>
    <w:rsid w:val="003B752E"/>
    <w:rsid w:val="003C618F"/>
    <w:rsid w:val="003C629C"/>
    <w:rsid w:val="003C66E3"/>
    <w:rsid w:val="003D0F27"/>
    <w:rsid w:val="003D1035"/>
    <w:rsid w:val="003D1174"/>
    <w:rsid w:val="003D6202"/>
    <w:rsid w:val="003E0BD6"/>
    <w:rsid w:val="003E12EF"/>
    <w:rsid w:val="003E1C18"/>
    <w:rsid w:val="003E4264"/>
    <w:rsid w:val="003E5D7D"/>
    <w:rsid w:val="003E7F43"/>
    <w:rsid w:val="003F07B0"/>
    <w:rsid w:val="003F1483"/>
    <w:rsid w:val="003F3968"/>
    <w:rsid w:val="00401BF9"/>
    <w:rsid w:val="004031F1"/>
    <w:rsid w:val="0042421A"/>
    <w:rsid w:val="004246E7"/>
    <w:rsid w:val="004257B8"/>
    <w:rsid w:val="00425A82"/>
    <w:rsid w:val="00425B28"/>
    <w:rsid w:val="00427D2D"/>
    <w:rsid w:val="00447D31"/>
    <w:rsid w:val="004513E8"/>
    <w:rsid w:val="00452244"/>
    <w:rsid w:val="00453C86"/>
    <w:rsid w:val="00453D51"/>
    <w:rsid w:val="00461F0E"/>
    <w:rsid w:val="00462819"/>
    <w:rsid w:val="0046343B"/>
    <w:rsid w:val="004677C2"/>
    <w:rsid w:val="00467914"/>
    <w:rsid w:val="00471492"/>
    <w:rsid w:val="00472834"/>
    <w:rsid w:val="00472B0D"/>
    <w:rsid w:val="00492D9B"/>
    <w:rsid w:val="00493B60"/>
    <w:rsid w:val="00495486"/>
    <w:rsid w:val="00495800"/>
    <w:rsid w:val="004961B2"/>
    <w:rsid w:val="00497227"/>
    <w:rsid w:val="004974A3"/>
    <w:rsid w:val="004A6085"/>
    <w:rsid w:val="004A689C"/>
    <w:rsid w:val="004B4874"/>
    <w:rsid w:val="004B7F5D"/>
    <w:rsid w:val="004D568F"/>
    <w:rsid w:val="004E27E4"/>
    <w:rsid w:val="004E5449"/>
    <w:rsid w:val="004F0C42"/>
    <w:rsid w:val="004F2286"/>
    <w:rsid w:val="004F3602"/>
    <w:rsid w:val="004F541E"/>
    <w:rsid w:val="005121FE"/>
    <w:rsid w:val="00516688"/>
    <w:rsid w:val="00517621"/>
    <w:rsid w:val="005214F5"/>
    <w:rsid w:val="005265DB"/>
    <w:rsid w:val="00532E11"/>
    <w:rsid w:val="00535CFE"/>
    <w:rsid w:val="0054718C"/>
    <w:rsid w:val="00550B97"/>
    <w:rsid w:val="00551E93"/>
    <w:rsid w:val="00554411"/>
    <w:rsid w:val="00555A01"/>
    <w:rsid w:val="00557188"/>
    <w:rsid w:val="0056469C"/>
    <w:rsid w:val="00564C6E"/>
    <w:rsid w:val="00565DB8"/>
    <w:rsid w:val="005662F1"/>
    <w:rsid w:val="00577D14"/>
    <w:rsid w:val="00582037"/>
    <w:rsid w:val="005829BB"/>
    <w:rsid w:val="00582C93"/>
    <w:rsid w:val="00586F51"/>
    <w:rsid w:val="00595D31"/>
    <w:rsid w:val="00596E46"/>
    <w:rsid w:val="005A2C71"/>
    <w:rsid w:val="005A44A9"/>
    <w:rsid w:val="005B2B65"/>
    <w:rsid w:val="005B5489"/>
    <w:rsid w:val="005B7A8C"/>
    <w:rsid w:val="005C21EF"/>
    <w:rsid w:val="005D74DE"/>
    <w:rsid w:val="005E0C0A"/>
    <w:rsid w:val="005E26D1"/>
    <w:rsid w:val="005E6394"/>
    <w:rsid w:val="005E6C95"/>
    <w:rsid w:val="005F0DC6"/>
    <w:rsid w:val="005F1465"/>
    <w:rsid w:val="005F3798"/>
    <w:rsid w:val="00600BF4"/>
    <w:rsid w:val="006031E8"/>
    <w:rsid w:val="0060355C"/>
    <w:rsid w:val="00604F64"/>
    <w:rsid w:val="006062E2"/>
    <w:rsid w:val="00610523"/>
    <w:rsid w:val="00616018"/>
    <w:rsid w:val="00616557"/>
    <w:rsid w:val="0062252E"/>
    <w:rsid w:val="00624C71"/>
    <w:rsid w:val="00625FF2"/>
    <w:rsid w:val="006265ED"/>
    <w:rsid w:val="00626AEE"/>
    <w:rsid w:val="00636DCF"/>
    <w:rsid w:val="00641F56"/>
    <w:rsid w:val="00643904"/>
    <w:rsid w:val="00646346"/>
    <w:rsid w:val="00652F9C"/>
    <w:rsid w:val="0065676A"/>
    <w:rsid w:val="00656BCF"/>
    <w:rsid w:val="00663778"/>
    <w:rsid w:val="00670DE1"/>
    <w:rsid w:val="006721B9"/>
    <w:rsid w:val="00672C8C"/>
    <w:rsid w:val="00685B9F"/>
    <w:rsid w:val="00693B71"/>
    <w:rsid w:val="0069737E"/>
    <w:rsid w:val="006A278C"/>
    <w:rsid w:val="006A2E04"/>
    <w:rsid w:val="006A3DDF"/>
    <w:rsid w:val="006A5E0A"/>
    <w:rsid w:val="006A693F"/>
    <w:rsid w:val="006B0104"/>
    <w:rsid w:val="006C31AC"/>
    <w:rsid w:val="006D1891"/>
    <w:rsid w:val="006D1BD3"/>
    <w:rsid w:val="006D295A"/>
    <w:rsid w:val="006E0109"/>
    <w:rsid w:val="006E7712"/>
    <w:rsid w:val="006F2C4B"/>
    <w:rsid w:val="006F5F17"/>
    <w:rsid w:val="007003CF"/>
    <w:rsid w:val="00701FA1"/>
    <w:rsid w:val="00711772"/>
    <w:rsid w:val="00712E09"/>
    <w:rsid w:val="007133CB"/>
    <w:rsid w:val="00713EA0"/>
    <w:rsid w:val="0071571B"/>
    <w:rsid w:val="007178DF"/>
    <w:rsid w:val="00723176"/>
    <w:rsid w:val="00725DB5"/>
    <w:rsid w:val="00726718"/>
    <w:rsid w:val="00726CE4"/>
    <w:rsid w:val="007313BB"/>
    <w:rsid w:val="00735F48"/>
    <w:rsid w:val="00740415"/>
    <w:rsid w:val="00742D35"/>
    <w:rsid w:val="0075166F"/>
    <w:rsid w:val="00751692"/>
    <w:rsid w:val="00752222"/>
    <w:rsid w:val="00752A9E"/>
    <w:rsid w:val="00755BFD"/>
    <w:rsid w:val="00763687"/>
    <w:rsid w:val="00767E4B"/>
    <w:rsid w:val="00772B1D"/>
    <w:rsid w:val="00775922"/>
    <w:rsid w:val="0077740F"/>
    <w:rsid w:val="00777D7A"/>
    <w:rsid w:val="00781A43"/>
    <w:rsid w:val="00785575"/>
    <w:rsid w:val="00795386"/>
    <w:rsid w:val="007961A3"/>
    <w:rsid w:val="00796483"/>
    <w:rsid w:val="007A14A8"/>
    <w:rsid w:val="007A3C7F"/>
    <w:rsid w:val="007B0A88"/>
    <w:rsid w:val="007B5257"/>
    <w:rsid w:val="007C1780"/>
    <w:rsid w:val="007C19B5"/>
    <w:rsid w:val="007C2C6D"/>
    <w:rsid w:val="007D0EAC"/>
    <w:rsid w:val="007D174F"/>
    <w:rsid w:val="007D727F"/>
    <w:rsid w:val="007E0351"/>
    <w:rsid w:val="007E2CF4"/>
    <w:rsid w:val="007E4508"/>
    <w:rsid w:val="007E5B5B"/>
    <w:rsid w:val="007E760B"/>
    <w:rsid w:val="007E7C0A"/>
    <w:rsid w:val="007F0CCF"/>
    <w:rsid w:val="007F0E55"/>
    <w:rsid w:val="007F5715"/>
    <w:rsid w:val="007F6DEE"/>
    <w:rsid w:val="008002B1"/>
    <w:rsid w:val="008077C4"/>
    <w:rsid w:val="00811B15"/>
    <w:rsid w:val="00821938"/>
    <w:rsid w:val="00821D66"/>
    <w:rsid w:val="00823A8E"/>
    <w:rsid w:val="00832F2B"/>
    <w:rsid w:val="0083787C"/>
    <w:rsid w:val="0084217B"/>
    <w:rsid w:val="008462D0"/>
    <w:rsid w:val="00853BC1"/>
    <w:rsid w:val="00860577"/>
    <w:rsid w:val="00860C49"/>
    <w:rsid w:val="00864E8A"/>
    <w:rsid w:val="00866C2B"/>
    <w:rsid w:val="00867D66"/>
    <w:rsid w:val="008719E9"/>
    <w:rsid w:val="00872906"/>
    <w:rsid w:val="00877CAA"/>
    <w:rsid w:val="00881995"/>
    <w:rsid w:val="008A38D2"/>
    <w:rsid w:val="008B15DF"/>
    <w:rsid w:val="008B166A"/>
    <w:rsid w:val="008B221A"/>
    <w:rsid w:val="008B798E"/>
    <w:rsid w:val="008C5CEF"/>
    <w:rsid w:val="008D1F62"/>
    <w:rsid w:val="008D2768"/>
    <w:rsid w:val="008D28E5"/>
    <w:rsid w:val="008D6671"/>
    <w:rsid w:val="008D6943"/>
    <w:rsid w:val="008E0E86"/>
    <w:rsid w:val="008F29A4"/>
    <w:rsid w:val="008F2AAE"/>
    <w:rsid w:val="008F3008"/>
    <w:rsid w:val="008F3952"/>
    <w:rsid w:val="008F4B66"/>
    <w:rsid w:val="008F6088"/>
    <w:rsid w:val="008F7B72"/>
    <w:rsid w:val="0090093A"/>
    <w:rsid w:val="00901D27"/>
    <w:rsid w:val="0091005B"/>
    <w:rsid w:val="00912374"/>
    <w:rsid w:val="009134BE"/>
    <w:rsid w:val="00914AC5"/>
    <w:rsid w:val="009156BB"/>
    <w:rsid w:val="00924AF8"/>
    <w:rsid w:val="00933536"/>
    <w:rsid w:val="00940C78"/>
    <w:rsid w:val="00942FE3"/>
    <w:rsid w:val="00952084"/>
    <w:rsid w:val="0095294D"/>
    <w:rsid w:val="00955DDC"/>
    <w:rsid w:val="009638A9"/>
    <w:rsid w:val="0096531E"/>
    <w:rsid w:val="00965376"/>
    <w:rsid w:val="00967D89"/>
    <w:rsid w:val="009719D3"/>
    <w:rsid w:val="00975BA6"/>
    <w:rsid w:val="00983101"/>
    <w:rsid w:val="00983CEC"/>
    <w:rsid w:val="0098578B"/>
    <w:rsid w:val="00992F26"/>
    <w:rsid w:val="009A28DA"/>
    <w:rsid w:val="009A3025"/>
    <w:rsid w:val="009A4584"/>
    <w:rsid w:val="009A5837"/>
    <w:rsid w:val="009A70C6"/>
    <w:rsid w:val="009B0546"/>
    <w:rsid w:val="009B095A"/>
    <w:rsid w:val="009B0B7F"/>
    <w:rsid w:val="009B0C9C"/>
    <w:rsid w:val="009B5860"/>
    <w:rsid w:val="009B5B51"/>
    <w:rsid w:val="009B62E5"/>
    <w:rsid w:val="009C09CC"/>
    <w:rsid w:val="009C1984"/>
    <w:rsid w:val="009C7244"/>
    <w:rsid w:val="009D3D9D"/>
    <w:rsid w:val="009D40BA"/>
    <w:rsid w:val="009D4DBD"/>
    <w:rsid w:val="009E4002"/>
    <w:rsid w:val="009F1683"/>
    <w:rsid w:val="009F3166"/>
    <w:rsid w:val="009F361F"/>
    <w:rsid w:val="009F506A"/>
    <w:rsid w:val="009F7F93"/>
    <w:rsid w:val="00A06D4F"/>
    <w:rsid w:val="00A077F9"/>
    <w:rsid w:val="00A10A8C"/>
    <w:rsid w:val="00A122D6"/>
    <w:rsid w:val="00A16411"/>
    <w:rsid w:val="00A22546"/>
    <w:rsid w:val="00A22D00"/>
    <w:rsid w:val="00A22D85"/>
    <w:rsid w:val="00A25D61"/>
    <w:rsid w:val="00A272A6"/>
    <w:rsid w:val="00A30B34"/>
    <w:rsid w:val="00A3161C"/>
    <w:rsid w:val="00A32FAF"/>
    <w:rsid w:val="00A33E69"/>
    <w:rsid w:val="00A35E97"/>
    <w:rsid w:val="00A36845"/>
    <w:rsid w:val="00A4606E"/>
    <w:rsid w:val="00A51BBF"/>
    <w:rsid w:val="00A523BB"/>
    <w:rsid w:val="00A5348D"/>
    <w:rsid w:val="00A54204"/>
    <w:rsid w:val="00A55BCB"/>
    <w:rsid w:val="00A60C53"/>
    <w:rsid w:val="00A6279C"/>
    <w:rsid w:val="00A6338B"/>
    <w:rsid w:val="00A6489C"/>
    <w:rsid w:val="00A66490"/>
    <w:rsid w:val="00A67254"/>
    <w:rsid w:val="00A6735E"/>
    <w:rsid w:val="00A67A98"/>
    <w:rsid w:val="00A706E2"/>
    <w:rsid w:val="00A72BE5"/>
    <w:rsid w:val="00A732E8"/>
    <w:rsid w:val="00A806E7"/>
    <w:rsid w:val="00A81757"/>
    <w:rsid w:val="00A85847"/>
    <w:rsid w:val="00A94634"/>
    <w:rsid w:val="00A94E43"/>
    <w:rsid w:val="00A9788C"/>
    <w:rsid w:val="00AA53E1"/>
    <w:rsid w:val="00AB2DE9"/>
    <w:rsid w:val="00AB688B"/>
    <w:rsid w:val="00AB69B8"/>
    <w:rsid w:val="00AC2A35"/>
    <w:rsid w:val="00AC3335"/>
    <w:rsid w:val="00AD26C8"/>
    <w:rsid w:val="00AD3082"/>
    <w:rsid w:val="00AD44F8"/>
    <w:rsid w:val="00AD762C"/>
    <w:rsid w:val="00AE0749"/>
    <w:rsid w:val="00AE0C7E"/>
    <w:rsid w:val="00AE7708"/>
    <w:rsid w:val="00AF0224"/>
    <w:rsid w:val="00AF19D0"/>
    <w:rsid w:val="00AF214F"/>
    <w:rsid w:val="00B05EF0"/>
    <w:rsid w:val="00B124E0"/>
    <w:rsid w:val="00B1437B"/>
    <w:rsid w:val="00B14B63"/>
    <w:rsid w:val="00B17078"/>
    <w:rsid w:val="00B253FF"/>
    <w:rsid w:val="00B2583F"/>
    <w:rsid w:val="00B37DD0"/>
    <w:rsid w:val="00B41294"/>
    <w:rsid w:val="00B45434"/>
    <w:rsid w:val="00B45688"/>
    <w:rsid w:val="00B46903"/>
    <w:rsid w:val="00B55E72"/>
    <w:rsid w:val="00B629B0"/>
    <w:rsid w:val="00B65759"/>
    <w:rsid w:val="00B7279D"/>
    <w:rsid w:val="00B769D9"/>
    <w:rsid w:val="00B81243"/>
    <w:rsid w:val="00B81683"/>
    <w:rsid w:val="00B82D65"/>
    <w:rsid w:val="00B83D95"/>
    <w:rsid w:val="00B93A2D"/>
    <w:rsid w:val="00B94543"/>
    <w:rsid w:val="00BA1D3D"/>
    <w:rsid w:val="00BA55FF"/>
    <w:rsid w:val="00BA5756"/>
    <w:rsid w:val="00BA74DE"/>
    <w:rsid w:val="00BB302A"/>
    <w:rsid w:val="00BB5C06"/>
    <w:rsid w:val="00BB7D9A"/>
    <w:rsid w:val="00BC2199"/>
    <w:rsid w:val="00BC2F96"/>
    <w:rsid w:val="00BC3E38"/>
    <w:rsid w:val="00BD216C"/>
    <w:rsid w:val="00BD4497"/>
    <w:rsid w:val="00BD5AAA"/>
    <w:rsid w:val="00BD5BDE"/>
    <w:rsid w:val="00BD5CAA"/>
    <w:rsid w:val="00BE0CE4"/>
    <w:rsid w:val="00BE4932"/>
    <w:rsid w:val="00BF0EC4"/>
    <w:rsid w:val="00BF411D"/>
    <w:rsid w:val="00BF4C42"/>
    <w:rsid w:val="00C005C9"/>
    <w:rsid w:val="00C165F8"/>
    <w:rsid w:val="00C17FD3"/>
    <w:rsid w:val="00C21AF1"/>
    <w:rsid w:val="00C3163F"/>
    <w:rsid w:val="00C35B82"/>
    <w:rsid w:val="00C44ADA"/>
    <w:rsid w:val="00C472AE"/>
    <w:rsid w:val="00C47F74"/>
    <w:rsid w:val="00C5522D"/>
    <w:rsid w:val="00C612E0"/>
    <w:rsid w:val="00C62FFC"/>
    <w:rsid w:val="00C634F1"/>
    <w:rsid w:val="00C63E4E"/>
    <w:rsid w:val="00C64A21"/>
    <w:rsid w:val="00C65C7A"/>
    <w:rsid w:val="00C66DD6"/>
    <w:rsid w:val="00C70603"/>
    <w:rsid w:val="00C7159B"/>
    <w:rsid w:val="00C74096"/>
    <w:rsid w:val="00C764FF"/>
    <w:rsid w:val="00C81099"/>
    <w:rsid w:val="00C827B2"/>
    <w:rsid w:val="00C83F81"/>
    <w:rsid w:val="00C85A64"/>
    <w:rsid w:val="00C87B3F"/>
    <w:rsid w:val="00C87C5B"/>
    <w:rsid w:val="00C9680F"/>
    <w:rsid w:val="00CA2FD7"/>
    <w:rsid w:val="00CA31B5"/>
    <w:rsid w:val="00CA3864"/>
    <w:rsid w:val="00CA6F4C"/>
    <w:rsid w:val="00CB4C0A"/>
    <w:rsid w:val="00CB6706"/>
    <w:rsid w:val="00CC2DDC"/>
    <w:rsid w:val="00CC43C1"/>
    <w:rsid w:val="00CD2BD2"/>
    <w:rsid w:val="00CD4E0F"/>
    <w:rsid w:val="00CD60F0"/>
    <w:rsid w:val="00CD688F"/>
    <w:rsid w:val="00CE21AB"/>
    <w:rsid w:val="00CE40E8"/>
    <w:rsid w:val="00CF17F1"/>
    <w:rsid w:val="00CF29C7"/>
    <w:rsid w:val="00CF31F9"/>
    <w:rsid w:val="00CF7F5A"/>
    <w:rsid w:val="00D04FB9"/>
    <w:rsid w:val="00D063C0"/>
    <w:rsid w:val="00D10673"/>
    <w:rsid w:val="00D11302"/>
    <w:rsid w:val="00D124A1"/>
    <w:rsid w:val="00D14254"/>
    <w:rsid w:val="00D15896"/>
    <w:rsid w:val="00D2189C"/>
    <w:rsid w:val="00D23163"/>
    <w:rsid w:val="00D25B2F"/>
    <w:rsid w:val="00D26A10"/>
    <w:rsid w:val="00D3256F"/>
    <w:rsid w:val="00D33A53"/>
    <w:rsid w:val="00D366EE"/>
    <w:rsid w:val="00D37254"/>
    <w:rsid w:val="00D4405F"/>
    <w:rsid w:val="00D45037"/>
    <w:rsid w:val="00D4732F"/>
    <w:rsid w:val="00D47C36"/>
    <w:rsid w:val="00D51F5A"/>
    <w:rsid w:val="00D61609"/>
    <w:rsid w:val="00D61B75"/>
    <w:rsid w:val="00D6273A"/>
    <w:rsid w:val="00D62894"/>
    <w:rsid w:val="00D660CC"/>
    <w:rsid w:val="00D71653"/>
    <w:rsid w:val="00D723BC"/>
    <w:rsid w:val="00D7338D"/>
    <w:rsid w:val="00D769F0"/>
    <w:rsid w:val="00D81E62"/>
    <w:rsid w:val="00D84274"/>
    <w:rsid w:val="00D94ED0"/>
    <w:rsid w:val="00D953EB"/>
    <w:rsid w:val="00D9738F"/>
    <w:rsid w:val="00DA303E"/>
    <w:rsid w:val="00DA5424"/>
    <w:rsid w:val="00DA6985"/>
    <w:rsid w:val="00DA79B5"/>
    <w:rsid w:val="00DB133E"/>
    <w:rsid w:val="00DB2A48"/>
    <w:rsid w:val="00DB547B"/>
    <w:rsid w:val="00DD1232"/>
    <w:rsid w:val="00DD4829"/>
    <w:rsid w:val="00DD5FAD"/>
    <w:rsid w:val="00DE7297"/>
    <w:rsid w:val="00DF0735"/>
    <w:rsid w:val="00DF30BC"/>
    <w:rsid w:val="00DF336E"/>
    <w:rsid w:val="00DF420D"/>
    <w:rsid w:val="00DF4612"/>
    <w:rsid w:val="00DF5D49"/>
    <w:rsid w:val="00E04648"/>
    <w:rsid w:val="00E13468"/>
    <w:rsid w:val="00E14ABE"/>
    <w:rsid w:val="00E14D1F"/>
    <w:rsid w:val="00E172EE"/>
    <w:rsid w:val="00E25069"/>
    <w:rsid w:val="00E25FEC"/>
    <w:rsid w:val="00E2623E"/>
    <w:rsid w:val="00E34D3F"/>
    <w:rsid w:val="00E36A7B"/>
    <w:rsid w:val="00E36E38"/>
    <w:rsid w:val="00E37BE0"/>
    <w:rsid w:val="00E40A94"/>
    <w:rsid w:val="00E4327D"/>
    <w:rsid w:val="00E439D2"/>
    <w:rsid w:val="00E513EC"/>
    <w:rsid w:val="00E67202"/>
    <w:rsid w:val="00E71181"/>
    <w:rsid w:val="00E742E4"/>
    <w:rsid w:val="00E76A17"/>
    <w:rsid w:val="00E80082"/>
    <w:rsid w:val="00E816EE"/>
    <w:rsid w:val="00E8413E"/>
    <w:rsid w:val="00E921AA"/>
    <w:rsid w:val="00E962C3"/>
    <w:rsid w:val="00E964B0"/>
    <w:rsid w:val="00EA2906"/>
    <w:rsid w:val="00EA4D73"/>
    <w:rsid w:val="00EB10AF"/>
    <w:rsid w:val="00EB5FB2"/>
    <w:rsid w:val="00EB7B36"/>
    <w:rsid w:val="00EC094D"/>
    <w:rsid w:val="00EC1601"/>
    <w:rsid w:val="00EC5AFF"/>
    <w:rsid w:val="00EC79A3"/>
    <w:rsid w:val="00ED3332"/>
    <w:rsid w:val="00ED356B"/>
    <w:rsid w:val="00ED3994"/>
    <w:rsid w:val="00ED5350"/>
    <w:rsid w:val="00ED53F3"/>
    <w:rsid w:val="00ED7E3D"/>
    <w:rsid w:val="00EE11EE"/>
    <w:rsid w:val="00EF1B12"/>
    <w:rsid w:val="00EF48F9"/>
    <w:rsid w:val="00EF7F28"/>
    <w:rsid w:val="00F04188"/>
    <w:rsid w:val="00F069CE"/>
    <w:rsid w:val="00F1072A"/>
    <w:rsid w:val="00F174FB"/>
    <w:rsid w:val="00F21892"/>
    <w:rsid w:val="00F31166"/>
    <w:rsid w:val="00F323A2"/>
    <w:rsid w:val="00F43A7E"/>
    <w:rsid w:val="00F4532A"/>
    <w:rsid w:val="00F51BD9"/>
    <w:rsid w:val="00F63D5D"/>
    <w:rsid w:val="00F67667"/>
    <w:rsid w:val="00F67F51"/>
    <w:rsid w:val="00F7189A"/>
    <w:rsid w:val="00F731E5"/>
    <w:rsid w:val="00F81E47"/>
    <w:rsid w:val="00F82681"/>
    <w:rsid w:val="00F8415F"/>
    <w:rsid w:val="00F930AA"/>
    <w:rsid w:val="00F93BA6"/>
    <w:rsid w:val="00F93BCF"/>
    <w:rsid w:val="00F95EBD"/>
    <w:rsid w:val="00FA2232"/>
    <w:rsid w:val="00FA2DFF"/>
    <w:rsid w:val="00FA7EF1"/>
    <w:rsid w:val="00FB41F5"/>
    <w:rsid w:val="00FB42CE"/>
    <w:rsid w:val="00FB79D5"/>
    <w:rsid w:val="00FC0EC9"/>
    <w:rsid w:val="00FC54EC"/>
    <w:rsid w:val="00FC66DD"/>
    <w:rsid w:val="00FC680E"/>
    <w:rsid w:val="00FC721F"/>
    <w:rsid w:val="00FD0072"/>
    <w:rsid w:val="00FD21C1"/>
    <w:rsid w:val="00FD406B"/>
    <w:rsid w:val="00FD40E4"/>
    <w:rsid w:val="00FD4D7A"/>
    <w:rsid w:val="00FD769E"/>
    <w:rsid w:val="00FE16D9"/>
    <w:rsid w:val="00FE1EB3"/>
    <w:rsid w:val="00FE2089"/>
    <w:rsid w:val="00FF02B3"/>
    <w:rsid w:val="00FF0CA0"/>
    <w:rsid w:val="00FF0FBF"/>
    <w:rsid w:val="00FF16F4"/>
    <w:rsid w:val="00FF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rsid w:val="0017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0">
    <w:name w:val="Emphasis"/>
    <w:basedOn w:val="a0"/>
    <w:uiPriority w:val="20"/>
    <w:qFormat/>
    <w:rsid w:val="00D47C3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D3D9D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737E"/>
  </w:style>
  <w:style w:type="paragraph" w:customStyle="1" w:styleId="p11">
    <w:name w:val="p11"/>
    <w:basedOn w:val="a"/>
    <w:rsid w:val="00A85847"/>
    <w:pPr>
      <w:spacing w:before="100" w:beforeAutospacing="1" w:after="100" w:afterAutospacing="1"/>
    </w:pPr>
    <w:rPr>
      <w:lang w:val="ru-RU" w:eastAsia="ru-RU"/>
    </w:rPr>
  </w:style>
  <w:style w:type="paragraph" w:styleId="af1">
    <w:name w:val="Body Text"/>
    <w:basedOn w:val="a"/>
    <w:link w:val="af2"/>
    <w:uiPriority w:val="99"/>
    <w:rsid w:val="00E8413E"/>
    <w:pPr>
      <w:widowControl w:val="0"/>
      <w:ind w:left="10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41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42">
    <w:name w:val="st42"/>
    <w:rsid w:val="00E8413E"/>
    <w:rPr>
      <w:rFonts w:ascii="Times New Roman" w:hAnsi="Times New Roman"/>
      <w:color w:val="000000"/>
    </w:rPr>
  </w:style>
  <w:style w:type="character" w:customStyle="1" w:styleId="21">
    <w:name w:val="Основной текст (2)_"/>
    <w:basedOn w:val="a0"/>
    <w:link w:val="210"/>
    <w:rsid w:val="00E8413E"/>
    <w:rPr>
      <w:sz w:val="36"/>
      <w:szCs w:val="3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413E"/>
    <w:pPr>
      <w:widowControl w:val="0"/>
      <w:shd w:val="clear" w:color="auto" w:fill="FFFFFF"/>
      <w:spacing w:line="826" w:lineRule="exact"/>
      <w:ind w:hanging="360"/>
    </w:pPr>
    <w:rPr>
      <w:rFonts w:asciiTheme="minorHAnsi" w:eastAsiaTheme="minorHAnsi" w:hAnsiTheme="minorHAnsi" w:cstheme="minorBidi"/>
      <w:sz w:val="36"/>
      <w:szCs w:val="36"/>
      <w:shd w:val="clear" w:color="auto" w:fill="FFFFFF"/>
      <w:lang w:val="ru-RU" w:eastAsia="en-US"/>
    </w:rPr>
  </w:style>
  <w:style w:type="character" w:customStyle="1" w:styleId="spelle">
    <w:name w:val="spelle"/>
    <w:basedOn w:val="a0"/>
    <w:rsid w:val="00183A8A"/>
  </w:style>
  <w:style w:type="paragraph" w:styleId="af3">
    <w:name w:val="Plain Text"/>
    <w:basedOn w:val="a"/>
    <w:link w:val="af4"/>
    <w:rsid w:val="007F6DEE"/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F6DEE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3778A4"/>
  </w:style>
  <w:style w:type="paragraph" w:styleId="af5">
    <w:name w:val="Balloon Text"/>
    <w:basedOn w:val="a"/>
    <w:link w:val="af6"/>
    <w:uiPriority w:val="99"/>
    <w:semiHidden/>
    <w:unhideWhenUsed/>
    <w:rsid w:val="00595D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5D3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65-2020-%D0%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laws/show/2456-17?find=1&amp;text=%F1%F2%E0%F2%F2%FF+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6C47-060E-4473-AAA0-24D367C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Гаврилова Жанна</cp:lastModifiedBy>
  <cp:revision>109</cp:revision>
  <cp:lastPrinted>2020-02-25T13:04:00Z</cp:lastPrinted>
  <dcterms:created xsi:type="dcterms:W3CDTF">2020-02-25T09:11:00Z</dcterms:created>
  <dcterms:modified xsi:type="dcterms:W3CDTF">2020-03-02T06:36:00Z</dcterms:modified>
</cp:coreProperties>
</file>